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89171.xml.htm"/>
      <w:bookmarkStart w:id="1" w:name="kswkform4_17895891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Wimbush Frederick Blair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AH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4605 COLUMBUS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VIRGINIA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AH Realty Trust, Inc.</w:t>
              </w:r>
            </w:hyperlink>
            <w:r>
              <w:rPr/>
              <w:t xml:space="preserve"> [ </w:t>
            </w:r>
            <w:r>
              <w:rPr>
                <w:rFonts w:ascii="Times;serif" w:hAnsi="Times;serif"/>
                <w:color w:val="0000FF"/>
                <w:sz w:val="24"/>
                <w:shd w:fill="FFFFFF" w:val="clear"/>
              </w:rPr>
              <w:t>AHRT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76"/>
        <w:gridCol w:w="443"/>
        <w:gridCol w:w="748"/>
        <w:gridCol w:w="1352"/>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2,800</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6.472</w:t>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48,017.807</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58"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Time-Based LTIP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director in lieu of his cash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Common Unit is redeemable for cash equal to the then-current market value of one share of the Company's common stock or, at the election of the Company, one share of the Company's common stock. Common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Common Units. All Common Units reflected in this report may be tendered for redemption by the holder.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T. Barnes-Smith, as Attorney-in-Fact for F. Blair Wimbush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5407" TargetMode="External"/><Relationship Id="rId5" Type="http://schemas.openxmlformats.org/officeDocument/2006/relationships/hyperlink" Target="http://www.sec.gov/cgi-bin/browse-edgar?action=getcompany&amp;CIK=0001569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4390</Characters>
  <CharactersWithSpaces>5119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