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186.xml.htm"/>
      <w:bookmarkStart w:id="1" w:name="kswkform4_17833681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Wimbush Frederick Blair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703"/>
        <w:gridCol w:w="1351"/>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357.85</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w:t>
            </w:r>
            <w:r>
              <w:rPr/>
              <w:t xml:space="preserve"> </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44,688.477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529.33</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7.01</w:t>
            </w:r>
            <w:r>
              <w:rPr>
                <w:rFonts w:ascii="Times;serif" w:hAnsi="Times;serif"/>
                <w:color w:val="008000"/>
                <w:position w:val="7"/>
                <w:sz w:val="16"/>
                <w:sz w:val="20"/>
                <w:shd w:fill="FFFFFF" w:val="clear"/>
              </w:rPr>
              <w:t>(2)</w:t>
            </w:r>
            <w:r>
              <w:rPr/>
              <w:t xml:space="preserve"> </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45,217.807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6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666"/>
        <w:gridCol w:w="666"/>
        <w:gridCol w:w="906"/>
        <w:gridCol w:w="801"/>
        <w:gridCol w:w="891"/>
        <w:gridCol w:w="68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4,981</w:t>
            </w:r>
            <w:r>
              <w:rPr>
                <w:rFonts w:ascii="Times;serif" w:hAnsi="Times;serif"/>
                <w:color w:val="008000"/>
                <w:position w:val="7"/>
                <w:sz w:val="16"/>
                <w:sz w:val="20"/>
                <w:shd w:fill="FFFFFF" w:val="clear"/>
              </w:rPr>
              <w:t>(5)</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4,981</w:t>
            </w:r>
            <w:r>
              <w:rPr>
                <w:rFonts w:ascii="Times;serif" w:hAnsi="Times;serif"/>
                <w:color w:val="008000"/>
                <w:position w:val="7"/>
                <w:sz w:val="16"/>
                <w:sz w:val="20"/>
                <w:shd w:fill="FFFFFF" w:val="clear"/>
              </w:rPr>
              <w:t>(5)</w:t>
            </w:r>
            <w:r>
              <w:rPr/>
              <w:t xml:space="preserve"> </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a broker-sponsored dividend reinvestment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$7.00 to $7.03, inclusive. The reporting person undertakes to provide to AH Realty Trust, Inc. (the "Company"), any security holder of the Company, or the staff of the Securities and Exchange Commission, upon request, full information regarding the number of shares purchased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Time-Based LTIP Units ("Time-Based LTIP Units") in AH Realty Trust, LP (the "Operating Partnership"), the operating partnership of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conversion of Time-Based LTIP Units granted on July 1, 2024 into Common Units at the election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F. Blair Wimbush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5407"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926</Words>
  <Characters>4979</Characters>
  <CharactersWithSpaces>5820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