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191.xml.htm"/>
      <w:bookmarkStart w:id="1" w:name="kswkform4_17833681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Carroll James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43,675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6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666"/>
        <w:gridCol w:w="666"/>
        <w:gridCol w:w="906"/>
        <w:gridCol w:w="801"/>
        <w:gridCol w:w="891"/>
        <w:gridCol w:w="68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4,981</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4,981</w:t>
            </w:r>
            <w:r>
              <w:rPr>
                <w:rFonts w:ascii="Times;serif" w:hAnsi="Times;serif"/>
                <w:color w:val="008000"/>
                <w:position w:val="7"/>
                <w:sz w:val="16"/>
                <w:sz w:val="20"/>
                <w:shd w:fill="FFFFFF" w:val="clear"/>
              </w:rPr>
              <w:t>(3)</w:t>
            </w:r>
            <w:r>
              <w:rPr/>
              <w:t xml:space="preserve"> </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conversion of Time-Based LTIP Units granted on July 1, 2024 into Common Units at the election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Common Units. All Common Units reflected in this report may be tendered for redemption by the holder.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James A. Carroll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5997"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4427</Characters>
  <CharactersWithSpaces>5178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