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center"/>
        <w:rPr/>
      </w:pPr>
      <w:r>
        <w:rPr/>
      </w:r>
    </w:p>
    <w:p>
      <w:pPr>
        <w:pStyle w:val="TextBody"/>
        <w:bidi w:val="0"/>
        <w:spacing w:lineRule="auto" w:line="288" w:before="0" w:after="0"/>
        <w:ind w:left="0" w:right="0" w:firstLine="54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2206" w:type="dxa"/>
        <w:jc w:val="center"/>
        <w:tblInd w:w="0" w:type="dxa"/>
        <w:tblLayout w:type="fixed"/>
        <w:tblCellMar>
          <w:top w:w="28" w:type="dxa"/>
          <w:left w:w="28" w:type="dxa"/>
          <w:bottom w:w="28" w:type="dxa"/>
          <w:right w:w="28" w:type="dxa"/>
        </w:tblCellMar>
      </w:tblPr>
      <w:tblGrid>
        <w:gridCol w:w="468"/>
        <w:gridCol w:w="411"/>
        <w:gridCol w:w="412"/>
        <w:gridCol w:w="267"/>
        <w:gridCol w:w="267"/>
        <w:gridCol w:w="381"/>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right"/>
              <w:rPr/>
            </w:pPr>
            <w:r>
              <w:rPr>
                <w:color w:val="000000"/>
              </w:rPr>
              <w:t> </w:t>
            </w:r>
            <w:r>
              <w:rPr>
                <w:rFonts w:ascii="Times New Roman;serif" w:hAnsi="Times New Roman;serif"/>
                <w:b/>
                <w:color w:val="000000"/>
                <w:sz w:val="36"/>
              </w:rPr>
              <w:t>FORM</w:t>
            </w:r>
          </w:p>
        </w:tc>
        <w:tc>
          <w:tcPr>
            <w:tcW w:w="9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36"/>
              </w:rPr>
            </w:pPr>
            <w:r>
              <w:rPr>
                <w:rFonts w:ascii="Times New Roman;serif" w:hAnsi="Times New Roman;serif"/>
                <w:b/>
                <w:color w:val="000000"/>
                <w:sz w:val="36"/>
              </w:rPr>
              <w:t>10-Q</w:t>
            </w:r>
          </w:p>
        </w:tc>
      </w:tr>
    </w:tbl>
    <w:p>
      <w:pPr>
        <w:pStyle w:val="TextBody"/>
        <w:bidi w:val="0"/>
        <w:spacing w:lineRule="auto" w:line="288" w:before="0" w:after="0"/>
        <w:ind w:left="0" w:right="0" w:firstLine="540"/>
        <w:jc w:val="center"/>
        <w:rPr/>
      </w:pPr>
      <w:r>
        <w:rPr>
          <w:color w:val="000000"/>
        </w:rPr>
        <w:t>☑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center"/>
        <w:rPr/>
      </w:pPr>
      <w:r>
        <w:rPr>
          <w:rFonts w:ascii="Times New Roman;serif" w:hAnsi="Times New Roman;serif"/>
          <w:b/>
          <w:color w:val="000000"/>
          <w:sz w:val="20"/>
        </w:rPr>
        <w:t xml:space="preserve">For the quarterly period ended June 30, 2026 </w:t>
      </w:r>
      <w:r>
        <w:rPr>
          <w:color w:val="000000"/>
        </w:rPr>
        <w:t> </w:t>
      </w:r>
    </w:p>
    <w:p>
      <w:pPr>
        <w:pStyle w:val="TextBody"/>
        <w:bidi w:val="0"/>
        <w:spacing w:lineRule="auto" w:line="288" w:before="0" w:after="0"/>
        <w:ind w:left="0" w:right="0" w:firstLine="540"/>
        <w:jc w:val="center"/>
        <w:rPr/>
      </w:pPr>
      <w:r>
        <w:rPr>
          <w:rFonts w:ascii="Times New Roman;serif" w:hAnsi="Times New Roman;serif"/>
          <w:b/>
          <w:color w:val="000000"/>
          <w:sz w:val="20"/>
        </w:rPr>
        <w:t>or</w:t>
      </w:r>
      <w:r>
        <w:rPr>
          <w:color w:val="000000"/>
        </w:rPr>
        <w:t> </w:t>
      </w:r>
    </w:p>
    <w:p>
      <w:pPr>
        <w:pStyle w:val="TextBody"/>
        <w:bidi w:val="0"/>
        <w:spacing w:lineRule="auto" w:line="288" w:before="0" w:after="0"/>
        <w:ind w:left="0" w:right="0" w:firstLine="540"/>
        <w:jc w:val="center"/>
        <w:rPr/>
      </w:pPr>
      <w:r>
        <w:rPr>
          <w:color w:val="000000"/>
        </w:rPr>
        <w:t>☐    </w:t>
      </w:r>
      <w:r>
        <w:rPr>
          <w:rFonts w:ascii="Times New Roman;serif" w:hAnsi="Times New Roman;serif"/>
          <w:b/>
          <w:color w:val="000000"/>
          <w:sz w:val="20"/>
        </w:rPr>
        <w:t>TRANSITION REPORT PURSUANT TO SECTION 13 OR 15(D) OF THE SECURITIES EXCHANGE ACT OF 1934</w:t>
      </w:r>
      <w:r>
        <w:rPr>
          <w:color w:val="000000"/>
        </w:rPr>
        <w:t> </w:t>
      </w:r>
    </w:p>
    <w:p>
      <w:pPr>
        <w:pStyle w:val="TextBody"/>
        <w:bidi w:val="0"/>
        <w:spacing w:lineRule="auto" w:line="288" w:before="0" w:after="120"/>
        <w:jc w:val="center"/>
        <w:rPr/>
      </w:pPr>
      <w:r>
        <w:rPr>
          <w:rFonts w:ascii="Times New Roman;serif" w:hAnsi="Times New Roman;serif"/>
          <w:b/>
          <w:color w:val="000000"/>
          <w:sz w:val="20"/>
        </w:rPr>
        <w:t>For the transition period from</w:t>
      </w:r>
      <w:r>
        <w:rPr>
          <w:color w:val="000000"/>
        </w:rPr>
        <w:t xml:space="preserve"> </w:t>
      </w:r>
      <w:r>
        <w:rPr>
          <w:color w:val="000000"/>
          <w:u w:val="single"/>
        </w:rPr>
        <w:t>                    </w:t>
      </w:r>
      <w:r>
        <w:rPr>
          <w:color w:val="000000"/>
        </w:rPr>
        <w:t xml:space="preserve"> </w:t>
      </w:r>
      <w:r>
        <w:rPr>
          <w:rFonts w:ascii="Times New Roman;serif" w:hAnsi="Times New Roman;serif"/>
          <w:b/>
          <w:color w:val="000000"/>
          <w:sz w:val="20"/>
        </w:rPr>
        <w:t>to</w:t>
      </w:r>
      <w:r>
        <w:rPr>
          <w:color w:val="000000"/>
        </w:rPr>
        <w:t xml:space="preserve"> </w:t>
      </w:r>
      <w:r>
        <w:rPr>
          <w:color w:val="000000"/>
          <w:u w:val="single"/>
        </w:rPr>
        <w:t>                    </w:t>
      </w: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001-35908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 xml:space="preserve">AH REALTY TRUST,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528" w:type="dxa"/>
        <w:jc w:val="left"/>
        <w:tblInd w:w="0" w:type="dxa"/>
        <w:tblLayout w:type="fixed"/>
        <w:tblCellMar>
          <w:top w:w="28" w:type="dxa"/>
          <w:left w:w="28" w:type="dxa"/>
          <w:bottom w:w="28" w:type="dxa"/>
          <w:right w:w="28" w:type="dxa"/>
        </w:tblCellMar>
      </w:tblPr>
      <w:tblGrid>
        <w:gridCol w:w="511"/>
        <w:gridCol w:w="449"/>
        <w:gridCol w:w="449"/>
        <w:gridCol w:w="375"/>
        <w:gridCol w:w="375"/>
        <w:gridCol w:w="375"/>
        <w:gridCol w:w="375"/>
        <w:gridCol w:w="375"/>
        <w:gridCol w:w="375"/>
        <w:gridCol w:w="375"/>
        <w:gridCol w:w="375"/>
        <w:gridCol w:w="375"/>
        <w:gridCol w:w="801"/>
        <w:gridCol w:w="801"/>
        <w:gridCol w:w="1142"/>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78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46-1214914</w:t>
            </w:r>
          </w:p>
        </w:tc>
      </w:tr>
      <w:tr>
        <w:trPr/>
        <w:tc>
          <w:tcPr>
            <w:tcW w:w="478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4784"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4605 Columbus St.</w:t>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Virginia Beach</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22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Virginia</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23462</w:t>
            </w:r>
          </w:p>
        </w:tc>
      </w:tr>
      <w:tr>
        <w:trPr/>
        <w:tc>
          <w:tcPr>
            <w:tcW w:w="478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(757) 366-4000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042"/>
        <w:gridCol w:w="1687"/>
        <w:gridCol w:w="1711"/>
        <w:gridCol w:w="109"/>
        <w:gridCol w:w="109"/>
        <w:gridCol w:w="109"/>
        <w:gridCol w:w="484"/>
        <w:gridCol w:w="429"/>
        <w:gridCol w:w="429"/>
        <w:gridCol w:w="109"/>
        <w:gridCol w:w="109"/>
        <w:gridCol w:w="109"/>
        <w:gridCol w:w="809"/>
        <w:gridCol w:w="809"/>
        <w:gridCol w:w="1151"/>
      </w:tblGrid>
      <w:tr>
        <w:trPr/>
        <w:tc>
          <w:tcPr>
            <w:tcW w:w="2042"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5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5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AHRT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r>
        <w:trPr/>
        <w:tc>
          <w:tcPr>
            <w:tcW w:w="5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6.75% Series A Cumulative Redeemable Perpetual Preferred Stock, $0.01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AHRT-PrA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0" w:after="12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18"/>
        </w:rPr>
        <w:t xml:space="preserve">Yes     </w:t>
      </w:r>
      <w:r>
        <w:rPr>
          <w:color w:val="000000"/>
        </w:rPr>
        <w:t>☐  </w:t>
      </w:r>
      <w:r>
        <w:rPr>
          <w:rFonts w:ascii="Times New Roman;serif" w:hAnsi="Times New Roman;serif"/>
          <w:b w:val="false"/>
          <w:color w:val="000000"/>
          <w:sz w:val="18"/>
        </w:rPr>
        <w:t>No </w:t>
      </w:r>
    </w:p>
    <w:p>
      <w:pPr>
        <w:pStyle w:val="TextBody"/>
        <w:bidi w:val="0"/>
        <w:spacing w:lineRule="auto" w:line="288" w:before="0" w:after="12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Times New Roman;serif" w:hAnsi="Times New Roman;serif"/>
          <w:b w:val="false"/>
          <w:color w:val="000000"/>
          <w:sz w:val="18"/>
        </w:rPr>
        <w:t xml:space="preserve">Yes     </w:t>
      </w:r>
      <w:r>
        <w:rPr>
          <w:color w:val="000000"/>
        </w:rPr>
        <w:t>☐  </w:t>
      </w:r>
      <w:r>
        <w:rPr>
          <w:rFonts w:ascii="Times New Roman;serif" w:hAnsi="Times New Roman;serif"/>
          <w:b w:val="false"/>
          <w:color w:val="000000"/>
          <w:sz w:val="18"/>
        </w:rPr>
        <w:t>No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600"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709"/>
        <w:gridCol w:w="709"/>
        <w:gridCol w:w="713"/>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60"/>
        <w:jc w:val="left"/>
        <w:rPr>
          <w:color w:val="000000"/>
        </w:rPr>
      </w:pPr>
      <w:r>
        <w:rPr>
          <w:color w:val="000000"/>
        </w:rPr>
        <w:t> </w:t>
      </w:r>
    </w:p>
    <w:p>
      <w:pPr>
        <w:pStyle w:val="TextBody"/>
        <w:bidi w:val="0"/>
        <w:spacing w:lineRule="auto" w:line="288" w:before="0" w:after="12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w:t>
      </w:r>
    </w:p>
    <w:p>
      <w:pPr>
        <w:pStyle w:val="TextBody"/>
        <w:bidi w:val="0"/>
        <w:spacing w:lineRule="auto" w:line="288" w:before="0" w:after="120"/>
        <w:jc w:val="left"/>
        <w:rPr/>
      </w:pPr>
      <w:r>
        <w:rPr>
          <w:color w:val="000000"/>
        </w:rPr>
        <w:t>☐ </w:t>
      </w:r>
      <w:r>
        <w:rPr>
          <w:rFonts w:ascii="Times New Roman;serif" w:hAnsi="Times New Roman;serif"/>
          <w:b w:val="false"/>
          <w:color w:val="000000"/>
          <w:sz w:val="18"/>
        </w:rPr>
        <w:t xml:space="preserve">Yes     </w:t>
      </w:r>
      <w:r>
        <w:rPr>
          <w:color w:val="000000"/>
        </w:rPr>
        <w:t>☒  </w:t>
      </w:r>
      <w:r>
        <w:rPr>
          <w:rFonts w:ascii="Times New Roman;serif" w:hAnsi="Times New Roman;serif"/>
          <w:b w:val="false"/>
          <w:color w:val="000000"/>
          <w:sz w:val="18"/>
        </w:rPr>
        <w:t>No</w:t>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 xml:space="preserve">As of July 31, 2026, the registrant had 74,592,992 shares of common stock, $0.01 par value per share, outstanding. In addition, as of July 31, 2026, AH Realty Trust, LP, the registrant's operating partnership subsidiary, had 24,839,064 units of limited partnership interest ("OP Units"), including LTIP Units, outstanding (other than OP Units held by the registrant).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AH REALTY TRUST, INC.</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 ENDED JUNE 30, 2026 </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ind w:left="0" w:right="0" w:firstLine="1260"/>
        <w:jc w:val="left"/>
        <w:rPr>
          <w:color w:val="000000"/>
        </w:rPr>
      </w:pPr>
      <w:r>
        <w:rPr>
          <w:color w:val="000000"/>
        </w:rPr>
        <w:t> </w:t>
      </w:r>
    </w:p>
    <w:tbl>
      <w:tblPr>
        <w:tblW w:w="9177" w:type="dxa"/>
        <w:jc w:val="left"/>
        <w:tblInd w:w="0" w:type="dxa"/>
        <w:tblLayout w:type="fixed"/>
        <w:tblCellMar>
          <w:top w:w="28" w:type="dxa"/>
          <w:left w:w="28" w:type="dxa"/>
          <w:bottom w:w="28" w:type="dxa"/>
          <w:right w:w="28" w:type="dxa"/>
        </w:tblCellMar>
      </w:tblPr>
      <w:tblGrid>
        <w:gridCol w:w="451"/>
        <w:gridCol w:w="397"/>
        <w:gridCol w:w="397"/>
        <w:gridCol w:w="1225"/>
        <w:gridCol w:w="1225"/>
        <w:gridCol w:w="1225"/>
        <w:gridCol w:w="1225"/>
        <w:gridCol w:w="1225"/>
        <w:gridCol w:w="1236"/>
        <w:gridCol w:w="167"/>
        <w:gridCol w:w="167"/>
        <w:gridCol w:w="237"/>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60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60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6235a20b0f454bf89301b6c570c64024_10">
              <w:r>
                <w:rPr>
                  <w:rStyle w:val="InternetLink"/>
                  <w:rFonts w:ascii="Times New Roman;serif" w:hAnsi="Times New Roman;serif"/>
                  <w:b/>
                  <w:color w:val="0000FF"/>
                  <w:sz w:val="20"/>
                  <w:u w:val="single"/>
                </w:rPr>
                <w:t>Part I. Financial Information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5a20b0f454bf89301b6c570c64024_10">
              <w:r>
                <w:rPr>
                  <w:rStyle w:val="InternetLink"/>
                  <w:rFonts w:ascii="Times New Roman;serif" w:hAnsi="Times New Roman;serif"/>
                  <w:b w:val="false"/>
                  <w:color w:val="0000FF"/>
                  <w:sz w:val="20"/>
                  <w:u w:val="single"/>
                </w:rPr>
                <w:t>1</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35a20b0f454bf89301b6c570c64024_13">
              <w:r>
                <w:rPr>
                  <w:rStyle w:val="InternetLink"/>
                  <w:rFonts w:ascii="Times New Roman;serif" w:hAnsi="Times New Roman;serif"/>
                  <w:b w:val="false"/>
                  <w:color w:val="0000FF"/>
                  <w:sz w:val="20"/>
                  <w:u w:val="single"/>
                </w:rPr>
                <w:t>Item 1. </w:t>
              </w:r>
            </w:hyperlink>
          </w:p>
        </w:tc>
        <w:tc>
          <w:tcPr>
            <w:tcW w:w="73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235a20b0f454bf89301b6c570c64024_13">
              <w:r>
                <w:rPr>
                  <w:rStyle w:val="InternetLink"/>
                  <w:rFonts w:ascii="Times New Roman;serif" w:hAnsi="Times New Roman;serif"/>
                  <w:b w:val="false"/>
                  <w:color w:val="0000FF"/>
                  <w:sz w:val="20"/>
                  <w:u w:val="single"/>
                </w:rPr>
                <w:t>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5a20b0f454bf89301b6c570c64024_13">
              <w:r>
                <w:rPr>
                  <w:rStyle w:val="InternetLink"/>
                  <w:rFonts w:ascii="Times New Roman;serif" w:hAnsi="Times New Roman;serif"/>
                  <w:b w:val="false"/>
                  <w:color w:val="0000FF"/>
                  <w:sz w:val="20"/>
                  <w:u w:val="single"/>
                </w:rPr>
                <w:t>1</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235a20b0f454bf89301b6c570c64024_16">
              <w:r>
                <w:rPr>
                  <w:rStyle w:val="InternetLink"/>
                  <w:rFonts w:ascii="Times New Roman;serif" w:hAnsi="Times New Roman;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5a20b0f454bf89301b6c570c64024_16">
              <w:r>
                <w:rPr>
                  <w:rStyle w:val="InternetLink"/>
                  <w:rFonts w:ascii="Times New Roman;serif" w:hAnsi="Times New Roman;serif"/>
                  <w:b w:val="false"/>
                  <w:color w:val="0000FF"/>
                  <w:sz w:val="20"/>
                  <w:u w:val="single"/>
                </w:rPr>
                <w:t>1</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235a20b0f454bf89301b6c570c64024_22">
              <w:r>
                <w:rPr>
                  <w:rStyle w:val="InternetLink"/>
                  <w:rFonts w:ascii="Times New Roman;serif" w:hAnsi="Times New Roman;serif"/>
                  <w:b w:val="false"/>
                  <w:color w:val="000080"/>
                  <w:sz w:val="20"/>
                  <w:u w:val="single"/>
                </w:rPr>
                <w:t xml:space="preserve">Condensed Consolidated Statements of Comprehensive </w:t>
              </w:r>
            </w:hyperlink>
            <w:hyperlink w:anchor="i6235a20b0f454bf89301b6c570c64024_22">
              <w:r>
                <w:rPr>
                  <w:rStyle w:val="InternetLink"/>
                  <w:rFonts w:ascii="Times New Roman;serif" w:hAnsi="Times New Roman;serif"/>
                  <w:b w:val="false"/>
                  <w:color w:val="000080"/>
                  <w:sz w:val="20"/>
                  <w:u w:val="single"/>
                </w:rPr>
                <w:t>(</w:t>
              </w:r>
            </w:hyperlink>
            <w:hyperlink w:anchor="i6235a20b0f454bf89301b6c570c64024_22">
              <w:r>
                <w:rPr>
                  <w:rStyle w:val="InternetLink"/>
                  <w:rFonts w:ascii="Times New Roman;serif" w:hAnsi="Times New Roman;serif"/>
                  <w:b w:val="false"/>
                  <w:color w:val="000080"/>
                  <w:sz w:val="20"/>
                  <w:u w:val="single"/>
                </w:rPr>
                <w:t>Loss</w:t>
              </w:r>
            </w:hyperlink>
            <w:hyperlink w:anchor="i6235a20b0f454bf89301b6c570c64024_22">
              <w:r>
                <w:rPr>
                  <w:rStyle w:val="InternetLink"/>
                  <w:rFonts w:ascii="Times New Roman;serif" w:hAnsi="Times New Roman;serif"/>
                  <w:b w:val="false"/>
                  <w:color w:val="000080"/>
                  <w:sz w:val="20"/>
                  <w:u w:val="single"/>
                </w:rPr>
                <w:t>)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5a20b0f454bf89301b6c570c64024_22">
              <w:r>
                <w:rPr>
                  <w:rStyle w:val="InternetLink"/>
                  <w:rFonts w:ascii="Times New Roman;serif" w:hAnsi="Times New Roman;serif"/>
                  <w:b w:val="false"/>
                  <w:color w:val="0000FF"/>
                  <w:sz w:val="20"/>
                  <w:u w:val="single"/>
                </w:rPr>
                <w:t>2</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235a20b0f454bf89301b6c570c64024_25">
              <w:r>
                <w:rPr>
                  <w:rStyle w:val="InternetLink"/>
                  <w:rFonts w:ascii="Times New Roman;serif" w:hAnsi="Times New Roman;serif"/>
                  <w:b w:val="false"/>
                  <w:color w:val="0000FF"/>
                  <w:sz w:val="20"/>
                  <w:u w:val="single"/>
                </w:rPr>
                <w:t>Condensed Consolidated Statements of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5a20b0f454bf89301b6c570c64024_25">
              <w:r>
                <w:rPr>
                  <w:rStyle w:val="InternetLink"/>
                  <w:rFonts w:ascii="Times New Roman;serif" w:hAnsi="Times New Roman;serif"/>
                  <w:b w:val="false"/>
                  <w:color w:val="0000FF"/>
                  <w:sz w:val="20"/>
                  <w:u w:val="single"/>
                </w:rPr>
                <w:t>3</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235a20b0f454bf89301b6c570c64024_28">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5a20b0f454bf89301b6c570c64024_28">
              <w:r>
                <w:rPr>
                  <w:rStyle w:val="InternetLink"/>
                  <w:rFonts w:ascii="Times New Roman;serif" w:hAnsi="Times New Roman;serif"/>
                  <w:b w:val="false"/>
                  <w:color w:val="0000FF"/>
                  <w:sz w:val="20"/>
                  <w:u w:val="single"/>
                </w:rPr>
                <w:t>5</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235a20b0f454bf89301b6c570c64024_31">
              <w:r>
                <w:rPr>
                  <w:rStyle w:val="InternetLink"/>
                  <w:rFonts w:ascii="Times New Roman;serif" w:hAnsi="Times New Roman;serif"/>
                  <w:b w:val="false"/>
                  <w:color w:val="0000FF"/>
                  <w:sz w:val="20"/>
                  <w:u w:val="singl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5a20b0f454bf89301b6c570c64024_31">
              <w:r>
                <w:rPr>
                  <w:rStyle w:val="InternetLink"/>
                  <w:rFonts w:ascii="Times New Roman;serif" w:hAnsi="Times New Roman;serif"/>
                  <w:b w:val="false"/>
                  <w:color w:val="0000FF"/>
                  <w:sz w:val="20"/>
                  <w:u w:val="single"/>
                </w:rPr>
                <w:t>7</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35a20b0f454bf89301b6c570c64024_106">
              <w:r>
                <w:rPr>
                  <w:rStyle w:val="InternetLink"/>
                  <w:rFonts w:ascii="Times New Roman;serif" w:hAnsi="Times New Roman;serif"/>
                  <w:b w:val="false"/>
                  <w:color w:val="0000FF"/>
                  <w:sz w:val="20"/>
                  <w:u w:val="single"/>
                </w:rPr>
                <w:t>Item 2.</w:t>
              </w:r>
            </w:hyperlink>
          </w:p>
        </w:tc>
        <w:tc>
          <w:tcPr>
            <w:tcW w:w="73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235a20b0f454bf89301b6c570c64024_10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5a20b0f454bf89301b6c570c64024_106">
              <w:r>
                <w:rPr>
                  <w:rStyle w:val="InternetLink"/>
                  <w:rFonts w:ascii="Times New Roman;serif" w:hAnsi="Times New Roman;serif"/>
                  <w:b w:val="false"/>
                  <w:color w:val="0000FF"/>
                  <w:sz w:val="20"/>
                  <w:u w:val="single"/>
                </w:rPr>
                <w:t>41</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35a20b0f454bf89301b6c570c64024_145">
              <w:r>
                <w:rPr>
                  <w:rStyle w:val="InternetLink"/>
                  <w:rFonts w:ascii="Times New Roman;serif" w:hAnsi="Times New Roman;serif"/>
                  <w:b w:val="false"/>
                  <w:color w:val="0000FF"/>
                  <w:sz w:val="20"/>
                  <w:u w:val="single"/>
                </w:rPr>
                <w:t>Item 3. </w:t>
              </w:r>
            </w:hyperlink>
          </w:p>
        </w:tc>
        <w:tc>
          <w:tcPr>
            <w:tcW w:w="73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235a20b0f454bf89301b6c570c64024_145">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5a20b0f454bf89301b6c570c64024_145">
              <w:r>
                <w:rPr>
                  <w:rStyle w:val="InternetLink"/>
                  <w:rFonts w:ascii="Times New Roman;serif" w:hAnsi="Times New Roman;serif"/>
                  <w:b w:val="false"/>
                  <w:color w:val="0000FF"/>
                  <w:sz w:val="20"/>
                  <w:u w:val="single"/>
                </w:rPr>
                <w:t>64</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35a20b0f454bf89301b6c570c64024_148">
              <w:r>
                <w:rPr>
                  <w:rStyle w:val="InternetLink"/>
                  <w:rFonts w:ascii="Times New Roman;serif" w:hAnsi="Times New Roman;serif"/>
                  <w:b w:val="false"/>
                  <w:color w:val="0000FF"/>
                  <w:sz w:val="20"/>
                  <w:u w:val="single"/>
                </w:rPr>
                <w:t>Item 4. </w:t>
              </w:r>
            </w:hyperlink>
          </w:p>
        </w:tc>
        <w:tc>
          <w:tcPr>
            <w:tcW w:w="73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235a20b0f454bf89301b6c570c64024_148">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5a20b0f454bf89301b6c570c64024_148">
              <w:r>
                <w:rPr>
                  <w:rStyle w:val="InternetLink"/>
                  <w:rFonts w:ascii="Times New Roman;serif" w:hAnsi="Times New Roman;serif"/>
                  <w:b w:val="false"/>
                  <w:color w:val="0000FF"/>
                  <w:sz w:val="20"/>
                  <w:u w:val="single"/>
                </w:rPr>
                <w:t>64</w:t>
              </w:r>
            </w:hyperlink>
          </w:p>
        </w:tc>
      </w:tr>
      <w:tr>
        <w:trPr/>
        <w:tc>
          <w:tcPr>
            <w:tcW w:w="860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6235a20b0f454bf89301b6c570c64024_151">
              <w:r>
                <w:rPr>
                  <w:rStyle w:val="InternetLink"/>
                  <w:rFonts w:ascii="Times New Roman;serif" w:hAnsi="Times New Roman;serif"/>
                  <w:b/>
                  <w:color w:val="0000FF"/>
                  <w:sz w:val="20"/>
                  <w:u w:val="single"/>
                </w:rPr>
                <w:t>Part II. Other Information (Unaudited)</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5a20b0f454bf89301b6c570c64024_151">
              <w:r>
                <w:rPr>
                  <w:rStyle w:val="InternetLink"/>
                  <w:rFonts w:ascii="Times New Roman;serif" w:hAnsi="Times New Roman;serif"/>
                  <w:b w:val="false"/>
                  <w:color w:val="0000FF"/>
                  <w:sz w:val="20"/>
                  <w:u w:val="single"/>
                </w:rPr>
                <w:t>66</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35a20b0f454bf89301b6c570c64024_154">
              <w:r>
                <w:rPr>
                  <w:rStyle w:val="InternetLink"/>
                  <w:rFonts w:ascii="Times New Roman;serif" w:hAnsi="Times New Roman;serif"/>
                  <w:b w:val="false"/>
                  <w:color w:val="0000FF"/>
                  <w:sz w:val="20"/>
                  <w:u w:val="single"/>
                </w:rPr>
                <w:t>Item 1. </w:t>
              </w:r>
            </w:hyperlink>
          </w:p>
        </w:tc>
        <w:tc>
          <w:tcPr>
            <w:tcW w:w="73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235a20b0f454bf89301b6c570c64024_154">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5a20b0f454bf89301b6c570c64024_154">
              <w:r>
                <w:rPr>
                  <w:rStyle w:val="InternetLink"/>
                  <w:rFonts w:ascii="Times New Roman;serif" w:hAnsi="Times New Roman;serif"/>
                  <w:b w:val="false"/>
                  <w:color w:val="0000FF"/>
                  <w:sz w:val="20"/>
                  <w:u w:val="single"/>
                </w:rPr>
                <w:t>66</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35a20b0f454bf89301b6c570c64024_157">
              <w:r>
                <w:rPr>
                  <w:rStyle w:val="InternetLink"/>
                  <w:rFonts w:ascii="Times New Roman;serif" w:hAnsi="Times New Roman;serif"/>
                  <w:b w:val="false"/>
                  <w:color w:val="0000FF"/>
                  <w:sz w:val="20"/>
                  <w:u w:val="single"/>
                </w:rPr>
                <w:t>Item 1A. </w:t>
              </w:r>
            </w:hyperlink>
          </w:p>
        </w:tc>
        <w:tc>
          <w:tcPr>
            <w:tcW w:w="73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235a20b0f454bf89301b6c570c64024_157">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5a20b0f454bf89301b6c570c64024_157">
              <w:r>
                <w:rPr>
                  <w:rStyle w:val="InternetLink"/>
                  <w:rFonts w:ascii="Times New Roman;serif" w:hAnsi="Times New Roman;serif"/>
                  <w:b w:val="false"/>
                  <w:color w:val="0000FF"/>
                  <w:sz w:val="20"/>
                  <w:u w:val="single"/>
                </w:rPr>
                <w:t>66</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35a20b0f454bf89301b6c570c64024_160">
              <w:r>
                <w:rPr>
                  <w:rStyle w:val="InternetLink"/>
                  <w:rFonts w:ascii="Times New Roman;serif" w:hAnsi="Times New Roman;serif"/>
                  <w:b w:val="false"/>
                  <w:color w:val="0000FF"/>
                  <w:sz w:val="20"/>
                  <w:u w:val="single"/>
                </w:rPr>
                <w:t>Item 2. </w:t>
              </w:r>
            </w:hyperlink>
          </w:p>
        </w:tc>
        <w:tc>
          <w:tcPr>
            <w:tcW w:w="73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235a20b0f454bf89301b6c570c64024_160">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5a20b0f454bf89301b6c570c64024_160">
              <w:r>
                <w:rPr>
                  <w:rStyle w:val="InternetLink"/>
                  <w:rFonts w:ascii="Times New Roman;serif" w:hAnsi="Times New Roman;serif"/>
                  <w:b w:val="false"/>
                  <w:color w:val="0000FF"/>
                  <w:sz w:val="20"/>
                  <w:u w:val="single"/>
                </w:rPr>
                <w:t>66</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35a20b0f454bf89301b6c570c64024_166">
              <w:r>
                <w:rPr>
                  <w:rStyle w:val="InternetLink"/>
                  <w:rFonts w:ascii="Times New Roman;serif" w:hAnsi="Times New Roman;serif"/>
                  <w:b w:val="false"/>
                  <w:color w:val="0000FF"/>
                  <w:sz w:val="20"/>
                  <w:u w:val="single"/>
                </w:rPr>
                <w:t>Item 3. </w:t>
              </w:r>
            </w:hyperlink>
          </w:p>
        </w:tc>
        <w:tc>
          <w:tcPr>
            <w:tcW w:w="73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235a20b0f454bf89301b6c570c64024_166">
              <w:r>
                <w:rPr>
                  <w:rStyle w:val="InternetLink"/>
                  <w:rFonts w:ascii="Times New Roman;serif" w:hAnsi="Times New Roman;serif"/>
                  <w:b w:val="false"/>
                  <w:color w:val="0000FF"/>
                  <w:sz w:val="20"/>
                  <w:u w:val="single"/>
                </w:rPr>
                <w:t>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5a20b0f454bf89301b6c570c64024_166">
              <w:r>
                <w:rPr>
                  <w:rStyle w:val="InternetLink"/>
                  <w:rFonts w:ascii="Times New Roman;serif" w:hAnsi="Times New Roman;serif"/>
                  <w:b w:val="false"/>
                  <w:color w:val="0000FF"/>
                  <w:sz w:val="20"/>
                  <w:u w:val="single"/>
                </w:rPr>
                <w:t>67</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35a20b0f454bf89301b6c570c64024_169">
              <w:r>
                <w:rPr>
                  <w:rStyle w:val="InternetLink"/>
                  <w:rFonts w:ascii="Times New Roman;serif" w:hAnsi="Times New Roman;serif"/>
                  <w:b w:val="false"/>
                  <w:color w:val="0000FF"/>
                  <w:sz w:val="20"/>
                  <w:u w:val="single"/>
                </w:rPr>
                <w:t>Item 4. </w:t>
              </w:r>
            </w:hyperlink>
          </w:p>
        </w:tc>
        <w:tc>
          <w:tcPr>
            <w:tcW w:w="73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235a20b0f454bf89301b6c570c64024_169">
              <w:r>
                <w:rPr>
                  <w:rStyle w:val="InternetLink"/>
                  <w:rFonts w:ascii="Times New Roman;serif" w:hAnsi="Times New Roman;serif"/>
                  <w:b w:val="false"/>
                  <w:color w:val="0000FF"/>
                  <w:sz w:val="20"/>
                  <w:u w:val="single"/>
                </w:rPr>
                <w:t>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5a20b0f454bf89301b6c570c64024_169">
              <w:r>
                <w:rPr>
                  <w:rStyle w:val="InternetLink"/>
                  <w:rFonts w:ascii="Times New Roman;serif" w:hAnsi="Times New Roman;serif"/>
                  <w:b w:val="false"/>
                  <w:color w:val="0000FF"/>
                  <w:sz w:val="20"/>
                  <w:u w:val="single"/>
                </w:rPr>
                <w:t>67</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35a20b0f454bf89301b6c570c64024_172">
              <w:r>
                <w:rPr>
                  <w:rStyle w:val="InternetLink"/>
                  <w:rFonts w:ascii="Times New Roman;serif" w:hAnsi="Times New Roman;serif"/>
                  <w:b w:val="false"/>
                  <w:color w:val="0000FF"/>
                  <w:sz w:val="20"/>
                  <w:u w:val="single"/>
                </w:rPr>
                <w:t>Item 5. </w:t>
              </w:r>
            </w:hyperlink>
          </w:p>
        </w:tc>
        <w:tc>
          <w:tcPr>
            <w:tcW w:w="73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235a20b0f454bf89301b6c570c64024_172">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5a20b0f454bf89301b6c570c64024_172">
              <w:r>
                <w:rPr>
                  <w:rStyle w:val="InternetLink"/>
                  <w:rFonts w:ascii="Times New Roman;serif" w:hAnsi="Times New Roman;serif"/>
                  <w:b w:val="false"/>
                  <w:color w:val="0000FF"/>
                  <w:sz w:val="20"/>
                  <w:u w:val="single"/>
                </w:rPr>
                <w:t>67</w:t>
              </w:r>
            </w:hyperlink>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235a20b0f454bf89301b6c570c64024_175">
              <w:r>
                <w:rPr>
                  <w:rStyle w:val="InternetLink"/>
                  <w:rFonts w:ascii="Times New Roman;serif" w:hAnsi="Times New Roman;serif"/>
                  <w:b w:val="false"/>
                  <w:color w:val="0000FF"/>
                  <w:sz w:val="20"/>
                  <w:u w:val="single"/>
                </w:rPr>
                <w:t>Item 6. </w:t>
              </w:r>
            </w:hyperlink>
          </w:p>
        </w:tc>
        <w:tc>
          <w:tcPr>
            <w:tcW w:w="73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235a20b0f454bf89301b6c570c64024_175">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5a20b0f454bf89301b6c570c64024_175">
              <w:r>
                <w:rPr>
                  <w:rStyle w:val="InternetLink"/>
                  <w:rFonts w:ascii="Times New Roman;serif" w:hAnsi="Times New Roman;serif"/>
                  <w:b w:val="false"/>
                  <w:color w:val="0000FF"/>
                  <w:sz w:val="20"/>
                  <w:u w:val="single"/>
                </w:rPr>
                <w:t>68</w:t>
              </w:r>
            </w:hyperlink>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c>
          <w:tcPr>
            <w:tcW w:w="368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1245" w:type="dxa"/>
            <w:gridSpan w:val="3"/>
            <w:tcBorders/>
            <w:vAlign w:val="center"/>
          </w:tcPr>
          <w:p>
            <w:pPr>
              <w:pStyle w:val="TableContents"/>
              <w:bidi w:val="0"/>
              <w:spacing w:before="0" w:after="283"/>
              <w:jc w:val="left"/>
              <w:rPr>
                <w:sz w:val="4"/>
                <w:szCs w:val="4"/>
              </w:rPr>
            </w:pPr>
            <w:r>
              <w:rPr>
                <w:sz w:val="4"/>
                <w:szCs w:val="4"/>
              </w:rPr>
            </w:r>
          </w:p>
        </w:tc>
        <w:tc>
          <w:tcPr>
            <w:tcW w:w="3675" w:type="dxa"/>
            <w:gridSpan w:val="3"/>
            <w:tcBorders/>
            <w:vAlign w:val="center"/>
          </w:tcPr>
          <w:p>
            <w:pPr>
              <w:pStyle w:val="TableContents"/>
              <w:bidi w:val="0"/>
              <w:spacing w:before="0" w:after="283"/>
              <w:jc w:val="left"/>
              <w:rPr>
                <w:sz w:val="4"/>
                <w:szCs w:val="4"/>
              </w:rPr>
            </w:pPr>
            <w:r>
              <w:rPr>
                <w:sz w:val="4"/>
                <w:szCs w:val="4"/>
              </w:rPr>
            </w:r>
          </w:p>
        </w:tc>
        <w:tc>
          <w:tcPr>
            <w:tcW w:w="368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860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0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6235a20b0f454bf89301b6c570c64024_178">
              <w:r>
                <w:rPr>
                  <w:rStyle w:val="InternetLink"/>
                  <w:rFonts w:ascii="Times New Roman;serif" w:hAnsi="Times New Roman;serif"/>
                  <w:b/>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5a20b0f454bf89301b6c570c64024_178">
              <w:r>
                <w:rPr>
                  <w:rStyle w:val="InternetLink"/>
                  <w:rFonts w:ascii="Times New Roman;serif" w:hAnsi="Times New Roman;serif"/>
                  <w:b w:val="false"/>
                  <w:color w:val="0000FF"/>
                  <w:sz w:val="20"/>
                  <w:u w:val="single"/>
                </w:rPr>
                <w:t>69</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ind w:left="0" w:right="0" w:firstLine="126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AH REALTY TRUST,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par value and share data)</w:t>
      </w:r>
    </w:p>
    <w:tbl>
      <w:tblPr>
        <w:tblW w:w="10205" w:type="dxa"/>
        <w:jc w:val="left"/>
        <w:tblInd w:w="0" w:type="dxa"/>
        <w:tblLayout w:type="fixed"/>
        <w:tblCellMar>
          <w:top w:w="28" w:type="dxa"/>
          <w:left w:w="28" w:type="dxa"/>
          <w:bottom w:w="28" w:type="dxa"/>
          <w:right w:w="28" w:type="dxa"/>
        </w:tblCellMar>
      </w:tblPr>
      <w:tblGrid>
        <w:gridCol w:w="2669"/>
        <w:gridCol w:w="2227"/>
        <w:gridCol w:w="2256"/>
        <w:gridCol w:w="109"/>
        <w:gridCol w:w="109"/>
        <w:gridCol w:w="109"/>
        <w:gridCol w:w="196"/>
        <w:gridCol w:w="871"/>
        <w:gridCol w:w="109"/>
        <w:gridCol w:w="109"/>
        <w:gridCol w:w="109"/>
        <w:gridCol w:w="109"/>
        <w:gridCol w:w="196"/>
        <w:gridCol w:w="871"/>
        <w:gridCol w:w="156"/>
      </w:tblGrid>
      <w:tr>
        <w:trPr/>
        <w:tc>
          <w:tcPr>
            <w:tcW w:w="2669"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producing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1,801,279 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Held for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1,798,576 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1,819,990 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(422,439)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(410,565)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1,409,425 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investments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800,536 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Acquired lease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76,408 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1,927,964 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2,596,510 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Indebtedness,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955,862 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1,283,987 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Liabilities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1,767,318 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Preferred stock, $0.01 par value, 100,000,000 shares authorized: </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6.75% Series A Cumulative Redeemable Perpetual Preferred Stock, 9,980,000 shares authorized; 6,843,418 shares issued and outstanding as of June 30,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500,000,000 shares authorized; 74,594,185 and 80,166,778 shares issued and outstanding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724,667 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in excess of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(269,484)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627,776 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 in investment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 in 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829,192 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1,927,964 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2,596,510 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1155"/>
                <wp:effectExtent l="0" t="0" r="0" b="0"/>
                <wp:wrapNone/>
                <wp:docPr id="3" name="Frame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AH REALTY TRUST,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Comprehensive (Loss) Income</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per share data) (Unaudited)</w:t>
      </w:r>
    </w:p>
    <w:tbl>
      <w:tblPr>
        <w:tblW w:w="10205" w:type="dxa"/>
        <w:jc w:val="left"/>
        <w:tblInd w:w="0" w:type="dxa"/>
        <w:tblLayout w:type="fixed"/>
        <w:tblCellMar>
          <w:top w:w="28" w:type="dxa"/>
          <w:left w:w="28" w:type="dxa"/>
          <w:bottom w:w="28" w:type="dxa"/>
          <w:right w:w="28" w:type="dxa"/>
        </w:tblCellMar>
      </w:tblPr>
      <w:tblGrid>
        <w:gridCol w:w="1899"/>
        <w:gridCol w:w="1468"/>
        <w:gridCol w:w="1453"/>
        <w:gridCol w:w="109"/>
        <w:gridCol w:w="109"/>
        <w:gridCol w:w="109"/>
        <w:gridCol w:w="196"/>
        <w:gridCol w:w="692"/>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6"/>
      </w:tblGrid>
      <w:tr>
        <w:trPr/>
        <w:tc>
          <w:tcPr>
            <w:tcW w:w="189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w:t>
              <w:br/>
              <w:t>June 30,</w:t>
            </w:r>
          </w:p>
        </w:tc>
      </w:tr>
      <w:tr>
        <w:trPr/>
        <w:tc>
          <w:tcPr>
            <w:tcW w:w="4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100,902 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Rental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Acquisition, development, and other pursuit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79,420 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real estate dispositions,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21,482 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Interest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Equity in income (loss) of unconsolidated real estate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consolidation of real estate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credit loss (provision) release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income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(Loss) income from discontinued operations,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income attributable to AH Realty Trust,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Net (loss) income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common stockholders from continuing operations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(0.09)</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common stockholders from discontinued operations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attributable to common stockholders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common shares outstanding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80,154 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80,073 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and distributions declared per common share and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Unrealized cash flow hedge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Realized cash flow hedge gains reclassified to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Comprehensive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loss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Comprehensive (loss) income attributable to AH Realty Trust,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51155"/>
                <wp:effectExtent l="0" t="0" r="0" b="0"/>
                <wp:wrapNone/>
                <wp:docPr id="4"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AH REALTY TRUST,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share data) (Unaudited)</w:t>
      </w:r>
    </w:p>
    <w:tbl>
      <w:tblPr>
        <w:tblW w:w="13713" w:type="dxa"/>
        <w:jc w:val="left"/>
        <w:tblInd w:w="0" w:type="dxa"/>
        <w:tblLayout w:type="fixed"/>
        <w:tblCellMar>
          <w:top w:w="28" w:type="dxa"/>
          <w:left w:w="28" w:type="dxa"/>
          <w:bottom w:w="28" w:type="dxa"/>
          <w:right w:w="28" w:type="dxa"/>
        </w:tblCellMar>
      </w:tblPr>
      <w:tblGrid>
        <w:gridCol w:w="705"/>
        <w:gridCol w:w="225"/>
        <w:gridCol w:w="226"/>
        <w:gridCol w:w="109"/>
        <w:gridCol w:w="109"/>
        <w:gridCol w:w="109"/>
        <w:gridCol w:w="196"/>
        <w:gridCol w:w="736"/>
        <w:gridCol w:w="109"/>
        <w:gridCol w:w="109"/>
        <w:gridCol w:w="109"/>
        <w:gridCol w:w="109"/>
        <w:gridCol w:w="206"/>
        <w:gridCol w:w="444"/>
        <w:gridCol w:w="116"/>
        <w:gridCol w:w="109"/>
        <w:gridCol w:w="109"/>
        <w:gridCol w:w="109"/>
        <w:gridCol w:w="196"/>
        <w:gridCol w:w="736"/>
        <w:gridCol w:w="109"/>
        <w:gridCol w:w="109"/>
        <w:gridCol w:w="109"/>
        <w:gridCol w:w="109"/>
        <w:gridCol w:w="196"/>
        <w:gridCol w:w="751"/>
        <w:gridCol w:w="109"/>
        <w:gridCol w:w="109"/>
        <w:gridCol w:w="109"/>
        <w:gridCol w:w="109"/>
        <w:gridCol w:w="316"/>
        <w:gridCol w:w="679"/>
        <w:gridCol w:w="176"/>
        <w:gridCol w:w="109"/>
        <w:gridCol w:w="109"/>
        <w:gridCol w:w="109"/>
        <w:gridCol w:w="197"/>
        <w:gridCol w:w="743"/>
        <w:gridCol w:w="111"/>
        <w:gridCol w:w="109"/>
        <w:gridCol w:w="109"/>
        <w:gridCol w:w="109"/>
        <w:gridCol w:w="247"/>
        <w:gridCol w:w="815"/>
        <w:gridCol w:w="139"/>
        <w:gridCol w:w="109"/>
        <w:gridCol w:w="109"/>
        <w:gridCol w:w="109"/>
        <w:gridCol w:w="226"/>
        <w:gridCol w:w="849"/>
        <w:gridCol w:w="126"/>
        <w:gridCol w:w="109"/>
        <w:gridCol w:w="109"/>
        <w:gridCol w:w="109"/>
        <w:gridCol w:w="196"/>
        <w:gridCol w:w="736"/>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Distributions in excess of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 in investment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 in Operating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2557" w:type="dxa"/>
            <w:gridSpan w:val="54"/>
            <w:tcBorders/>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627,776 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192,884 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829,192 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(23,164)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cash flow hedge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cash flow hedge gains reclassified to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costs from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Retirement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awards,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Acquisitions of noncontrolling interest in real estate entity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operating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and distributions declared on common shares and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(306,080)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859 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569,523 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182,332 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760,180 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(15,676)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cash flow hedge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cash flow hedge gains reclassified to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costs from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Retirement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awards,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and distributions declared on common shares and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(10,457)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691,746 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(335,100)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529,328 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12,134 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173,541 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715,003 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1155"/>
                <wp:effectExtent l="0" t="0" r="0" b="0"/>
                <wp:wrapNone/>
                <wp:docPr id="5"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tbl>
      <w:tblPr>
        <w:tblW w:w="13803" w:type="dxa"/>
        <w:jc w:val="center"/>
        <w:tblInd w:w="0" w:type="dxa"/>
        <w:tblLayout w:type="fixed"/>
        <w:tblCellMar>
          <w:top w:w="28" w:type="dxa"/>
          <w:left w:w="28" w:type="dxa"/>
          <w:bottom w:w="28" w:type="dxa"/>
          <w:right w:w="28" w:type="dxa"/>
        </w:tblCellMar>
      </w:tblPr>
      <w:tblGrid>
        <w:gridCol w:w="795"/>
        <w:gridCol w:w="225"/>
        <w:gridCol w:w="226"/>
        <w:gridCol w:w="109"/>
        <w:gridCol w:w="109"/>
        <w:gridCol w:w="109"/>
        <w:gridCol w:w="196"/>
        <w:gridCol w:w="736"/>
        <w:gridCol w:w="109"/>
        <w:gridCol w:w="109"/>
        <w:gridCol w:w="109"/>
        <w:gridCol w:w="109"/>
        <w:gridCol w:w="206"/>
        <w:gridCol w:w="444"/>
        <w:gridCol w:w="116"/>
        <w:gridCol w:w="109"/>
        <w:gridCol w:w="109"/>
        <w:gridCol w:w="109"/>
        <w:gridCol w:w="196"/>
        <w:gridCol w:w="736"/>
        <w:gridCol w:w="109"/>
        <w:gridCol w:w="109"/>
        <w:gridCol w:w="109"/>
        <w:gridCol w:w="109"/>
        <w:gridCol w:w="196"/>
        <w:gridCol w:w="751"/>
        <w:gridCol w:w="109"/>
        <w:gridCol w:w="109"/>
        <w:gridCol w:w="109"/>
        <w:gridCol w:w="109"/>
        <w:gridCol w:w="266"/>
        <w:gridCol w:w="756"/>
        <w:gridCol w:w="149"/>
        <w:gridCol w:w="109"/>
        <w:gridCol w:w="109"/>
        <w:gridCol w:w="109"/>
        <w:gridCol w:w="197"/>
        <w:gridCol w:w="743"/>
        <w:gridCol w:w="111"/>
        <w:gridCol w:w="109"/>
        <w:gridCol w:w="109"/>
        <w:gridCol w:w="109"/>
        <w:gridCol w:w="273"/>
        <w:gridCol w:w="775"/>
        <w:gridCol w:w="153"/>
        <w:gridCol w:w="109"/>
        <w:gridCol w:w="109"/>
        <w:gridCol w:w="109"/>
        <w:gridCol w:w="226"/>
        <w:gridCol w:w="849"/>
        <w:gridCol w:w="126"/>
        <w:gridCol w:w="109"/>
        <w:gridCol w:w="109"/>
        <w:gridCol w:w="109"/>
        <w:gridCol w:w="196"/>
        <w:gridCol w:w="736"/>
        <w:gridCol w:w="154"/>
      </w:tblGrid>
      <w:tr>
        <w:trPr/>
        <w:tc>
          <w:tcPr>
            <w:tcW w:w="79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Distributions in excess of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 in investment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 in Operating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2557" w:type="dxa"/>
            <w:gridSpan w:val="54"/>
            <w:tcBorders/>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(218,623)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670,636 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9,180 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209,853 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889,669 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cash flow hedge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cash flow hedge (gains) losses reclassified to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costs from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awards,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Redemption of operating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on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and distributions declared on common shares and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(3,044)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719,405 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(235,535)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657,391 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202,444 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868,752 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5,949 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1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845 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cash flow hedge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cash flow hedge (gains) losses reclassified to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costs from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awards,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Non-controlling interest recognized upon consolidation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36,323 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noncontrolling interest in real estate entity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(36,323)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on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and distributions declared on common shares and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171,085 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(243,695)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1,079 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652,005 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8,735 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200,051 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860,791 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1155"/>
                <wp:effectExtent l="0" t="0" r="0" b="0"/>
                <wp:wrapNone/>
                <wp:docPr id="6"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AH REALTY TRUST,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(Unaudited)</w:t>
      </w:r>
    </w:p>
    <w:tbl>
      <w:tblPr>
        <w:tblW w:w="10205" w:type="dxa"/>
        <w:jc w:val="left"/>
        <w:tblInd w:w="0" w:type="dxa"/>
        <w:tblLayout w:type="fixed"/>
        <w:tblCellMar>
          <w:top w:w="28" w:type="dxa"/>
          <w:left w:w="28" w:type="dxa"/>
          <w:bottom w:w="28" w:type="dxa"/>
          <w:right w:w="28" w:type="dxa"/>
        </w:tblCellMar>
      </w:tblPr>
      <w:tblGrid>
        <w:gridCol w:w="2819"/>
        <w:gridCol w:w="2402"/>
        <w:gridCol w:w="2412"/>
        <w:gridCol w:w="109"/>
        <w:gridCol w:w="109"/>
        <w:gridCol w:w="109"/>
        <w:gridCol w:w="196"/>
        <w:gridCol w:w="705"/>
        <w:gridCol w:w="109"/>
        <w:gridCol w:w="109"/>
        <w:gridCol w:w="109"/>
        <w:gridCol w:w="109"/>
        <w:gridCol w:w="196"/>
        <w:gridCol w:w="556"/>
        <w:gridCol w:w="156"/>
      </w:tblGrid>
      <w:tr>
        <w:trPr/>
        <w:tc>
          <w:tcPr>
            <w:tcW w:w="2819"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w:t>
              <w:br/>
              <w:t>June 30,</w:t>
            </w:r>
          </w:p>
        </w:tc>
      </w:tr>
      <w:tr>
        <w:trPr/>
        <w:tc>
          <w:tcPr>
            <w:tcW w:w="7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 of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loss (income)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income from continuing operations to net cash provided by operating activities of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of buildings and tenant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leasing costs, in-place lease intangibles, and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straight-line rental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leasing incentives and above or below-market rents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straight-line ground rent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credit loss provision (release)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for uncollectible lease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stock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consolidation of real estate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real estate dispositions,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 in fair value of derivatives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 for receipts on off-market 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Equity in (income) loss of unconsolidated real estate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operating activities of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Development of 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Tenant and building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(22,789)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Dispositions of real estate investments, net of selling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receivable issuances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 receivable paydowns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to purchase off-market 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Receipts on off-market 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 of capital from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 in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for investing activities of continuing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(21,498)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Costs from issuance of common stock,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shares tendered for tax withholding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 and retirement of common stock,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issuances, credit facility, and construction loan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162,904 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and credit facility repayments, including principal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(98,079)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(4,413)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non-controlling interest in consolidated 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operating partnership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and distributions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(40,829)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(used for) provided by financing activities of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(398,560)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1155"/>
                <wp:effectExtent l="0" t="0" r="0" b="0"/>
                <wp:wrapNone/>
                <wp:docPr id="7"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AH REALTY TRUST,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p>
      <w:pPr>
        <w:pStyle w:val="TextBody"/>
        <w:bidi w:val="0"/>
        <w:spacing w:lineRule="auto" w:line="288" w:before="0" w:after="0"/>
        <w:jc w:val="left"/>
        <w:rPr/>
      </w:pPr>
      <w:r>
        <w:rPr>
          <w:rFonts w:ascii="Times New Roman;serif" w:hAnsi="Times New Roman;serif"/>
          <w:b/>
          <w:color w:val="000000"/>
          <w:sz w:val="20"/>
        </w:rPr>
        <w:t>(In thousands) (Unaudited)</w:t>
      </w:r>
      <w:r>
        <w:rPr>
          <w:color w:val="000000"/>
        </w:rPr>
        <w:t xml:space="preserve"> </w:t>
      </w:r>
    </w:p>
    <w:p>
      <w:pPr>
        <w:pStyle w:val="TextBody"/>
        <w:bidi w:val="0"/>
        <w:spacing w:before="0" w:after="0"/>
        <w:jc w:val="left"/>
        <w:rPr/>
      </w:pPr>
      <w:r>
        <w:rPr/>
      </w:r>
    </w:p>
    <w:tbl>
      <w:tblPr>
        <w:tblW w:w="9756" w:type="dxa"/>
        <w:jc w:val="center"/>
        <w:tblInd w:w="0" w:type="dxa"/>
        <w:tblLayout w:type="fixed"/>
        <w:tblCellMar>
          <w:top w:w="28" w:type="dxa"/>
          <w:left w:w="28" w:type="dxa"/>
          <w:bottom w:w="28" w:type="dxa"/>
          <w:right w:w="28" w:type="dxa"/>
        </w:tblCellMar>
      </w:tblPr>
      <w:tblGrid>
        <w:gridCol w:w="2588"/>
        <w:gridCol w:w="2276"/>
        <w:gridCol w:w="2291"/>
        <w:gridCol w:w="109"/>
        <w:gridCol w:w="109"/>
        <w:gridCol w:w="109"/>
        <w:gridCol w:w="196"/>
        <w:gridCol w:w="646"/>
        <w:gridCol w:w="109"/>
        <w:gridCol w:w="109"/>
        <w:gridCol w:w="109"/>
        <w:gridCol w:w="109"/>
        <w:gridCol w:w="196"/>
        <w:gridCol w:w="646"/>
        <w:gridCol w:w="154"/>
      </w:tblGrid>
      <w:tr>
        <w:trPr/>
        <w:tc>
          <w:tcPr>
            <w:tcW w:w="2588"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w:t>
              <w:br/>
              <w:t>June 30,</w:t>
            </w:r>
          </w:p>
        </w:tc>
      </w:tr>
      <w:tr>
        <w:trPr/>
        <w:tc>
          <w:tcPr>
            <w:tcW w:w="7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Cash flows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flows provided by (used in) operating activities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flows provided by (used in) investing activities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flows used in financing activities of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flows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(31,689)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Cash, cash equivalents, and restricted cash, beginning of period (including discontinued operations)</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Cash, cash equivalents, and restricted cash, end of period (including discontinued operations)</w:t>
            </w:r>
            <w:r>
              <w:rPr>
                <w:rFonts w:ascii="Times New Roman;serif" w:hAnsi="Times New Roman;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40"/>
        <w:gridCol w:w="2404"/>
        <w:gridCol w:w="2414"/>
        <w:gridCol w:w="109"/>
        <w:gridCol w:w="109"/>
        <w:gridCol w:w="109"/>
        <w:gridCol w:w="196"/>
        <w:gridCol w:w="712"/>
        <w:gridCol w:w="109"/>
        <w:gridCol w:w="109"/>
        <w:gridCol w:w="109"/>
        <w:gridCol w:w="109"/>
        <w:gridCol w:w="196"/>
        <w:gridCol w:w="622"/>
        <w:gridCol w:w="158"/>
      </w:tblGrid>
      <w:tr>
        <w:trPr/>
        <w:tc>
          <w:tcPr>
            <w:tcW w:w="2740"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w:t>
              <w:br/>
              <w:t>June 30,</w:t>
            </w:r>
          </w:p>
        </w:tc>
      </w:tr>
      <w:tr>
        <w:trPr/>
        <w:tc>
          <w:tcPr>
            <w:tcW w:w="7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dividends and distributions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increase in accrued improvements and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Partnership units redeemed for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Fair value of note receivable as partial consideration for disposition of general contracting and real estate services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r>
        <w:trPr/>
        <w:tc>
          <w:tcPr>
            <w:tcW w:w="7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The following table provides a reconciliation of cash, cash equivalents, and restricted cash reported in the Condensed Consolidated Statements of Cash Flows (in thousands):</w:t>
      </w:r>
    </w:p>
    <w:tbl>
      <w:tblPr>
        <w:tblW w:w="5848" w:type="dxa"/>
        <w:jc w:val="center"/>
        <w:tblInd w:w="0" w:type="dxa"/>
        <w:tblLayout w:type="fixed"/>
        <w:tblCellMar>
          <w:top w:w="28" w:type="dxa"/>
          <w:left w:w="28" w:type="dxa"/>
          <w:bottom w:w="28" w:type="dxa"/>
          <w:right w:w="28" w:type="dxa"/>
        </w:tblCellMar>
      </w:tblPr>
      <w:tblGrid>
        <w:gridCol w:w="1096"/>
        <w:gridCol w:w="965"/>
        <w:gridCol w:w="968"/>
        <w:gridCol w:w="109"/>
        <w:gridCol w:w="109"/>
        <w:gridCol w:w="109"/>
        <w:gridCol w:w="196"/>
        <w:gridCol w:w="646"/>
        <w:gridCol w:w="109"/>
        <w:gridCol w:w="109"/>
        <w:gridCol w:w="109"/>
        <w:gridCol w:w="109"/>
        <w:gridCol w:w="196"/>
        <w:gridCol w:w="646"/>
        <w:gridCol w:w="109"/>
        <w:gridCol w:w="109"/>
        <w:gridCol w:w="154"/>
      </w:tblGrid>
      <w:tr>
        <w:trPr/>
        <w:tc>
          <w:tcPr>
            <w:tcW w:w="109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Beginning of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Cash and cash equivalents</w:t>
            </w:r>
            <w:r>
              <w:rPr>
                <w:rFonts w:ascii="Times New Roman;serif" w:hAnsi="Times New Roman;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Restricted cash</w:t>
            </w:r>
            <w:r>
              <w:rPr>
                <w:rFonts w:ascii="Times New Roman;serif" w:hAnsi="Times New Roman;serif"/>
                <w:b w:val="false"/>
                <w:color w:val="000000"/>
                <w:sz w:val="1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End of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Cash and cash equivalents</w:t>
            </w:r>
            <w:r>
              <w:rPr>
                <w:rFonts w:ascii="Times New Roman;serif" w:hAnsi="Times New Roman;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Restricted cash</w:t>
            </w:r>
            <w:r>
              <w:rPr>
                <w:rFonts w:ascii="Times New Roman;serif" w:hAnsi="Times New Roman;serif"/>
                <w:b w:val="false"/>
                <w:color w:val="000000"/>
                <w:sz w:val="1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Excludes cash and cash equivalents from discontinued operations as of December 31, 2025 and December 31, 2024 of $10.2 million and $48.7 million, respectively.</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(2) Restricted cash represents amounts held by lenders for real estate taxes, insurance, and reserves for capital improvements.</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(3) Excludes restricted cash from discontinued operations as of December 31, 2025 and December 31, 2024 of $1.6 million and $1.5 million, respectively.</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(4) Excludes cash and cash equivalents from discontinued operations as of June 30, 2026 and June 30, 2025 of $7.8 million and $30.2 million, respectively.</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(5) Excludes restricted cash from discontinued operations as of June 30, 2026 and June 30, 2025 of $5.5 million and $1.6 million,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1155"/>
                <wp:effectExtent l="0" t="0" r="0" b="0"/>
                <wp:wrapNone/>
                <wp:docPr id="8"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AH REALTY TRUST,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left"/>
        <w:rPr/>
      </w:pPr>
      <w:r>
        <w:rPr>
          <w:color w:val="000000"/>
        </w:rPr>
        <w:t> </w:t>
      </w:r>
      <w:r>
        <w:rPr>
          <w:rFonts w:ascii="Times New Roman;serif" w:hAnsi="Times New Roman;serif"/>
          <w:b/>
          <w:color w:val="000000"/>
          <w:sz w:val="20"/>
        </w:rPr>
        <w:t>(Unaudited)</w:t>
      </w:r>
    </w:p>
    <w:p>
      <w:pPr>
        <w:pStyle w:val="TextBody"/>
        <w:bidi w:val="0"/>
        <w:spacing w:lineRule="auto" w:line="288" w:before="0" w:after="0"/>
        <w:ind w:left="0" w:right="0" w:firstLine="126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i/>
          <w:color w:val="000000"/>
          <w:sz w:val="20"/>
        </w:rPr>
      </w:pPr>
      <w:r>
        <w:rPr>
          <w:rFonts w:ascii="Times New Roman;serif" w:hAnsi="Times New Roman;serif"/>
          <w:b/>
          <w:i/>
          <w:color w:val="000000"/>
          <w:sz w:val="20"/>
        </w:rPr>
        <w:t xml:space="preserve">1. Business of Organization </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AH Realty Trust, Inc. (the "Company"), formerly known as Armada Hoffler Properties, Inc., is a real estate investment trust ("REIT") with over four decades of experience that owns, operates, and acquires high-quality retail and office properties located primarily in the Mid-Atlantic and Southeast United States.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February 2026, the Company announced a series of strategic actions designed to sharpen its long</w:t>
        <w:noBreakHyphen/>
        <w:t>term focus and simplify its business model. These actions included a strategic corporate rebranding, the announced exit from the multifamily and real estate financing sector, and the sale of the general contracting and real estate services business. As part of the rebranding initiative, the Company adopted the new corporate name AH Realty Trust and transitioned its New York Stock Exchange ticker symbol from AHH to AHRT. Together, these actions align the Company more closely with its core strengths in retail and office real estate ownership and operations, while enhancing clarity, efficiency, and market recognition among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the sole general partner of AH Realty Trust, LP (the "Operating Partnership") and, as of June 30, 2026, owned 75.0% of the economic interest in the Operating Partnership, of which 0.1% is held as general partnership units. The operations of the Company are carried on primarily through the Operating Partnership and the wholly-owned subsidiaries thereof. Both the Company and the Operating Partnership were formed on October 12, 2012 and commenced operations upon completion of the underwritten initial public offering of shares of the Company’s common stock and certain related formation transactions on May 13, 2013.</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As of June 30, 2026, the Company's stabilized operating portfolio</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consisted of the following properties:</w:t>
      </w:r>
    </w:p>
    <w:tbl>
      <w:tblPr>
        <w:tblW w:w="8034" w:type="dxa"/>
        <w:jc w:val="left"/>
        <w:tblInd w:w="0" w:type="dxa"/>
        <w:tblLayout w:type="fixed"/>
        <w:tblCellMar>
          <w:top w:w="28" w:type="dxa"/>
          <w:left w:w="28" w:type="dxa"/>
          <w:bottom w:w="28" w:type="dxa"/>
          <w:right w:w="28" w:type="dxa"/>
        </w:tblCellMar>
      </w:tblPr>
      <w:tblGrid>
        <w:gridCol w:w="1191"/>
        <w:gridCol w:w="1045"/>
        <w:gridCol w:w="1049"/>
        <w:gridCol w:w="109"/>
        <w:gridCol w:w="109"/>
        <w:gridCol w:w="109"/>
        <w:gridCol w:w="109"/>
        <w:gridCol w:w="109"/>
        <w:gridCol w:w="699"/>
        <w:gridCol w:w="699"/>
        <w:gridCol w:w="701"/>
        <w:gridCol w:w="109"/>
        <w:gridCol w:w="109"/>
        <w:gridCol w:w="109"/>
        <w:gridCol w:w="233"/>
        <w:gridCol w:w="233"/>
        <w:gridCol w:w="551"/>
        <w:gridCol w:w="220"/>
        <w:gridCol w:w="220"/>
        <w:gridCol w:w="321"/>
      </w:tblGrid>
      <w:tr>
        <w:trPr/>
        <w:tc>
          <w:tcPr>
            <w:tcW w:w="119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Ownership Interest</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Town Center of Virginia Beach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249 Central Park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4525 Main Street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4621 Columbus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Columbus Village*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Commerce Street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Fountain Plaza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Pembroke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Premier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Studio 56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Cosmopolitan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Two Columbus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West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Harbor Point - Baltimore Waterfront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Constellation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Baltimore,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76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Grocery Anchored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 Creek Shopping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Norfolk,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Broadmoor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South Bend, Indiana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Brooks Crossing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Newport News,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Delray Beach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Delray Beach,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Greenbrier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Chesapeake,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Greentree Shopping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Chesapeake,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1155"/>
                <wp:effectExtent l="0" t="0" r="0" b="0"/>
                <wp:wrapNone/>
                <wp:docPr id="9"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tbl>
      <w:tblPr>
        <w:tblW w:w="7605" w:type="dxa"/>
        <w:jc w:val="left"/>
        <w:tblInd w:w="0" w:type="dxa"/>
        <w:tblLayout w:type="fixed"/>
        <w:tblCellMar>
          <w:top w:w="28" w:type="dxa"/>
          <w:left w:w="28" w:type="dxa"/>
          <w:bottom w:w="28" w:type="dxa"/>
          <w:right w:w="28" w:type="dxa"/>
        </w:tblCellMar>
      </w:tblPr>
      <w:tblGrid>
        <w:gridCol w:w="1190"/>
        <w:gridCol w:w="1045"/>
        <w:gridCol w:w="1050"/>
        <w:gridCol w:w="109"/>
        <w:gridCol w:w="109"/>
        <w:gridCol w:w="109"/>
        <w:gridCol w:w="109"/>
        <w:gridCol w:w="109"/>
        <w:gridCol w:w="779"/>
        <w:gridCol w:w="779"/>
        <w:gridCol w:w="781"/>
        <w:gridCol w:w="109"/>
        <w:gridCol w:w="109"/>
        <w:gridCol w:w="109"/>
        <w:gridCol w:w="233"/>
        <w:gridCol w:w="233"/>
        <w:gridCol w:w="271"/>
        <w:gridCol w:w="109"/>
        <w:gridCol w:w="109"/>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Hanbury Village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Chesapeake,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Lexington Square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Lexington, South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Pointe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Durham, North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Parkway Centre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Moultrie, Georgia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Parkway Marketplace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Perry Hall Marketplace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Perry Hall,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Sandbridge Commons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Tyre Neck Harris Teeter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Portsmouth,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Southeast Sunbelt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Hampton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Taylors, South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One City Center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Durham, North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Overlook Village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Asheville, North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Patterson Place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Durham, North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Providence Plaza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Charlotte, North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Durham, North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Interlock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Atlanta, Georgia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Wendover Village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Greensboro, North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Mid-Atlantic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Dimmock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Colonial Heights,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Harrisonburg Regal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Harrisonburg,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Marketplace at Hilltop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 Mill Commons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Southgate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Colonial Heights,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Southshore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Chesterfield,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Town Center of Virginia Beach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222 Central Park Office*</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249 Central Park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4525 Main Street 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4605 Columbus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Columbus*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Two Columbus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Harbor Point - Baltimore Waterfront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Constellation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Baltimore,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Thames Street Wharf*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Baltimore,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Wills Wharf*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Baltimore,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Southeast Sunbelt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One City Center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Durham, North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Providence Plaza 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Charlotte, North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Interlock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Atlanta, Georgia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Mid-Atlantic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Brooks Crossing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Newport News,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*Represents a property located within a mixed-use community.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10"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The Company generally considers a property to be stabilized upon the earlier of (a) the quarter after the property reaches 80% physical occupancy, or (b) the thirteenth quarter after the property receives its certificate of occupancy. A property classified as discontinued operations or held for sale is not considered stabilized.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The Company is entitled to a preferred return on its investment in this property.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Formerly known as Armada Hoffler Tower.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the following properties were under development or delivered, not yet stabilized: </w:t>
      </w:r>
    </w:p>
    <w:tbl>
      <w:tblPr>
        <w:tblW w:w="7204" w:type="dxa"/>
        <w:jc w:val="left"/>
        <w:tblInd w:w="0" w:type="dxa"/>
        <w:tblLayout w:type="fixed"/>
        <w:tblCellMar>
          <w:top w:w="28" w:type="dxa"/>
          <w:left w:w="28" w:type="dxa"/>
          <w:bottom w:w="28" w:type="dxa"/>
          <w:right w:w="28" w:type="dxa"/>
        </w:tblCellMar>
      </w:tblPr>
      <w:tblGrid>
        <w:gridCol w:w="907"/>
        <w:gridCol w:w="797"/>
        <w:gridCol w:w="801"/>
        <w:gridCol w:w="109"/>
        <w:gridCol w:w="109"/>
        <w:gridCol w:w="109"/>
        <w:gridCol w:w="275"/>
        <w:gridCol w:w="275"/>
        <w:gridCol w:w="276"/>
        <w:gridCol w:w="109"/>
        <w:gridCol w:w="109"/>
        <w:gridCol w:w="109"/>
        <w:gridCol w:w="499"/>
        <w:gridCol w:w="499"/>
        <w:gridCol w:w="501"/>
        <w:gridCol w:w="109"/>
        <w:gridCol w:w="109"/>
        <w:gridCol w:w="109"/>
        <w:gridCol w:w="340"/>
        <w:gridCol w:w="340"/>
        <w:gridCol w:w="341"/>
        <w:gridCol w:w="109"/>
        <w:gridCol w:w="109"/>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Development, Not Stabilized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Ownership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Southern Post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Roswell, Georgia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Southern Post 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Roswell, Georgia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*Represents a property located within a mixed-use community.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 to Note 6 for a list of properties classified as discontinued operations as of June 30, 2026.</w:t>
      </w:r>
    </w:p>
    <w:p>
      <w:pPr>
        <w:pStyle w:val="TextBody"/>
        <w:bidi w:val="0"/>
        <w:spacing w:before="0" w:after="0"/>
        <w:ind w:left="0" w:right="0" w:firstLine="175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i/>
          <w:color w:val="000000"/>
          <w:sz w:val="20"/>
        </w:rPr>
      </w:pPr>
      <w:r>
        <w:rPr>
          <w:rFonts w:ascii="Times New Roman;serif" w:hAnsi="Times New Roman;serif"/>
          <w:b/>
          <w:i/>
          <w:color w:val="000000"/>
          <w:sz w:val="20"/>
        </w:rPr>
        <w:t xml:space="preserve">2. Significant Accounting Policies </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were prepared in accordance with U.S. generally accepted accounting principles ("GAAP").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financial position and results of operations of the Company and its subsidiaries. The Company’s subsidiaries include the Operating Partnership and the subsidiaries that are wholly owned or in which the Company has a controlling interest, including where the Company has been determined to be a primary beneficiary of a variable interest entity ("VIE") in accordance with the consolidation guidance of the Financial Accounting Standards Board ("FASB") Accounting Standards Codification ("ASC"). All significant intercompany transactions and balances have been eliminated in consolidation.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opinion of management, the condensed consolidated financial statements reflect all adjustments, consisting of normal recurring accruals, which are necessary for the fair presentation of the financial condition, and results of operations for the interim periods presented.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were prepared in accordance with the requirements for interim financial information. Accordingly, these interim financial statements have not been audited and exclude certain disclosures required for annual financial statements. Also, the operating results presented for interim periods are not necessarily indicative of the results that may be expected for any other interim period or for the entire year. These interim financial statements should be read in conjunction with the audited consolidated financial statements of the Company included in the Company’s Annual Report on Form 10-K for the year ended December 31, 2025.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and disclosed. Such estimates are based on management’s historical experience and best judgment after considering past, current, and expected events and economic conditions. Actual results could differ significantly from management’s estimates.</w:t>
      </w:r>
    </w:p>
    <w:p>
      <w:pPr>
        <w:pStyle w:val="TextBody"/>
        <w:bidi w:val="0"/>
        <w:spacing w:before="0" w:after="0"/>
        <w:jc w:val="left"/>
        <w:rPr/>
      </w:pPr>
      <w:r>
        <w:rPr/>
      </w:r>
    </w:p>
    <w:p>
      <w:pPr>
        <w:pStyle w:val="TextBody"/>
        <w:bidi w:val="0"/>
        <w:spacing w:lineRule="auto" w:line="273" w:before="0" w:after="0"/>
        <w:ind w:left="0" w:right="0" w:firstLine="360"/>
        <w:jc w:val="left"/>
        <w:rPr>
          <w:rFonts w:ascii="Times New Roman;serif" w:hAnsi="Times New Roman;serif"/>
          <w:b/>
          <w:color w:val="000000"/>
          <w:sz w:val="20"/>
        </w:rPr>
      </w:pPr>
      <w:r>
        <w:rPr>
          <w:rFonts w:ascii="Times New Roman;serif" w:hAnsi="Times New Roman;serif"/>
          <w:b/>
          <w:color w:val="000000"/>
          <w:sz w:val="20"/>
        </w:rPr>
        <w:t>Discontinued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General Contracting and Real Estate Services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elected to divest the general contracting and real estate services segment. This disposal represented a strategic shift that will have a major effect on the Company’s operations and financial results and has been reported as discontinued operations. The Company closed on this sale on April 30, 2026. The transaction includes a transition services agreement for a 90-day period following the closing to provide human resources, payroll, and information technology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1155"/>
                <wp:effectExtent l="0" t="0" r="0" b="0"/>
                <wp:wrapNone/>
                <wp:docPr id="11"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general contracting and real estate services segment have been removed from continuing operations and presented as (loss) income from discontinued operations, net of taxes for all periods presented. Assets and liabilities associated with the general contracting and real estate services segment have been reclassified as assets of discontinued operations and liabilities of discontinued operations, in the consolidated balance sheet as of December 31, 2025. As of June 30, 2026, the Company has no assets or liabilities attributable to the general contracting and real estate services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Multifamily and Real Estate Financing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the quarter ended March 31, 2026, the Company elected to divest the multifamily and real estate financing segments. These disposals represent a strategic shift that will have a major effect on the Company’s operations and financial results and have been reported as discontinued operations.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March 13, 2026, certain wholly owned subsidiaries of the Company entered into a purchase and sale agreement with an unrelated third-party to sell eleven out of the Company's fourteen multifamily properties for a combined purchase price of $562.0 million in cash, subject to certain adjustments, with a $15.0 million non-refundable deposit (the "Multifamily Portfolio Sale"). The Multifamily Portfolio Sale is not contingent on the receipt of financing by the buyer. On May 20, 2026, the Company completed the disposition of nine properties, which included the disposition of retail components of five of the properties and the office component of one of the properties, for aggregate proceeds of $485.0 million (the “First Closing”). The nine properties that were disposed of were: (1) Encore Apartments, (2) The Cosmopolitan, (3) Allied | Harbor Point, (4) 1405 Point Street, (5) 1305 Dock Street, (6) Chronicle Mill Apartments, (7) Chandler Residences, (8) The Edison and (9) Liberty Apartments. The Company expects to complete the disposition of the remaining assets included in the Multifamily Portfolio Sale as follows: Greenside Apartments by the end of 2026 and Premier Apartments by mid-2027. The Company has entered into a purchase and sale agreement for two of the Company's other multifamily assets, The Everly and Solis Gainesville II, as of July 17, 2026, and expects to close by the end of the third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on March 27, 2026, the Company sold two of the real estate financing investments and on April 30, 2026, the investment secured by The Allure at Edinburgh was fully redeemed. The remaining investment, Solis Kennesaw, is expected to close by the end of the first quarter of 2027.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can be no assurances that the remainder of the Multifamily Portfolio Sale or the sale of the Company's other assets will occur on the timeline or on the terms the Company anticipates, if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multifamily and real estate financing segments have been removed from continuing operations and presented as (loss) income from discontinued operations, net of taxes for all periods presented. Assets and liabilities associated with the multifamily and real estate financing segments have been reclassified as assets of discontinued operations and liabilities of discontinued operations, in the consolidated balance sheet as of June 30, 2026 and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Unless specifically stated otherwise, footnote disclosures only reflect the results of continuing operations. The results of discontinued operations are presented in Note 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Segments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ASC 280, Segment Reporting, operating segments are defined as components of an enterprise for which separate financial information is available and is regularly reviewed by the chief operating decision maker ("CODM") in deciding how to allocate resources and in assessing performance across the enterprise. Segment information is prepared on the same basis that the CODM reviews information for operational decision-making purposes. The CODM evaluates the performance of each of the Company’s properties and real estate ventures individually and aggregates such properties into segments based on their economic characteristics and classes of tenants. The Company operates in two reportable business segments: (i) retail real estate and (ii) office real estate. The Company's former segments - (iii) general contracting and real estate services, (iv) multifamily real estate, and (v) real estate financing have been reclassified as discontinued operations for all periods presented. The Company's CODM has been identified to collectively include the Chief Executive Officer and the Chief Financial Officer for the three and six months ended June 30,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1155"/>
                <wp:effectExtent l="0" t="0" r="0" b="0"/>
                <wp:wrapNone/>
                <wp:docPr id="12"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Notes Receivable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three notes receivable outstanding, each arising from funding obligations or shortfalls by counterparties: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Harbor Point Parcel 3 Shortfall Loan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 2026, the Company funded a required capital contribution of $10.6 million related to Harbor Point Parcel 3, an equity method investment. The Company funded both its own and its joint venture partner’s required contributions after the partner failed to fund its $5.3 million portion when due. The partner’s $5.3 million obligation is recorded as a note receivable and bears interest at the prime rate as published in the Wall Street Journal ("WSJ prime rate"), plus 3%. Interest accrues until repayment. See Footnote 7 for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AHP Construction Holdings, LLC Loan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30, 2026, the Company entered into a $0.8 million loan with AHP Construction Holdings, LLC. The note bears no interest for the first 24 months following the closing date. After the 24</w:t>
        <w:noBreakHyphen/>
        <w:t>month period, the note bears interest at the WSJ prime rate, plus 2%. The note matures three years from the closing date. See Footnote 4 for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Constellation Loan Buy</w:t>
        <w:noBreakHyphen/>
        <w:t xml:space="preserve">Down Shortfall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20, 2026, the Company funded a $3.7 million shortfall related to the buy</w:t>
        <w:noBreakHyphen/>
        <w:t>down of the Constellation loan after its joint venture partner failed to fund its required portion. The partner’s $3.7 million obligation is recorded as a note receivable and bears interest at the WSJ prime rate, plus 3%. See Footnote 6 for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evaluates notes receivable and other financial assets carried at amortized cost for expected credit losses under the Current Expected Credit Losses (“CECL”) model. The evaluation considers the credit quality of the borrower, collateral, historical loss experience, and other relevant factors. See Footnote 4 for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Recently Adopted Accounting Standards: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July 2025, the FASB issued ASU 2025</w:t>
        <w:noBreakHyphen/>
        <w:t>05 as an update to ASC Topic 326, which will become effective for fiscal years beginning after December 31, 2025, including interim periods. The amendment allows for a practical expedient when estimating expected credit losses and is intended to refine and enhance the application of CECL by providing clarifications related to expected credit loss measurement, model inputs, and disclosure requirements. There is no material impact on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 Not Yet Adopted: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Disaggregation of Income Statement Expenses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as an update to ASC Topic 220-40, which will be effective for fiscal years beginning after December 15, 2026 and interim periods beginning after December 15, 2027. Early adoption is permitted. ASU 2024-03 was issued to improve the disclosures about a public business entity's expenses and address request from investors for more detailed information about the types of expenses (including employee compensation, depreciation, and amortization) in commonly presented expense captions (such as general and administrative expenses). The standard is expected to impact disclosures only and is not expected to affect the Company's consolidated financial position, results of operations, or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Derivatives and Hedging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November 2025, the FASB issued ASU 2025</w:t>
        <w:noBreakHyphen/>
        <w:t xml:space="preserve">09, as an update to ASC Topic 815, which will become effective for fiscal years beginning after December 31, 2026, including interim periods. Early adoption is permitted and the guidance is applied prospectively, with transition provisions for updating certain existing hedging relationships. The amendments clarify and refine aspects of hedge accounting, including (i) assessing similar risk exposure for groups of forecasted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1155"/>
                <wp:effectExtent l="0" t="0" r="0" b="0"/>
                <wp:wrapNone/>
                <wp:docPr id="13"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transactions in cash flow hedges, (ii) hedging forecasted interest payments on choose</w:t>
        <w:noBreakHyphen/>
        <w:t>your</w:t>
        <w:noBreakHyphen/>
        <w:t>rate debt instruments, (iii) cash flow hedges of nonfinancial forecasted transactions (including component hedging), (iv) the use of net written options as hedging instruments, and (v) certain foreign</w:t>
        <w:noBreakHyphen/>
        <w:t>currency hedge accounting matters. The Company has evaluated the impact of ASU 2025</w:t>
        <w:noBreakHyphen/>
        <w:t>09 on its consolidated financial statements, and determined that there is no material impact on the Company's financial position, results of operations, or cash flows, but the Company may benefit from certain simplifications in applying hedge accounting and may experience changes to hedge accounting documentation and assessments.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the Company's Annual Report on Form 10-K for the year ended December 31, 2025 for a description of other accounting principles upon which basis the accompanying consolidated financial statements were prepared.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i/>
          <w:color w:val="000000"/>
          <w:sz w:val="20"/>
        </w:rPr>
      </w:pPr>
      <w:r>
        <w:rPr>
          <w:rFonts w:ascii="Times New Roman;serif" w:hAnsi="Times New Roman;serif"/>
          <w:b/>
          <w:i/>
          <w:color w:val="000000"/>
          <w:sz w:val="20"/>
        </w:rPr>
        <w:t xml:space="preserve">3. Segments </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operates its business in two reportable segments: (i) retail real estate and (ii) office real estate. Refer to Note 1 for the composition of properties within each property segment.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operating income ("NOI") is the primary measure used by the Company’s CODM to assess segment performance. NOI is calculated as segment revenues less segment expenses. Segment revenues include rental revenues and segment expenses include rental expenses and real estate taxes for the property segments. NOI is not a measure of operating income or cash flows from operating activities as measured by GAAP and is not indicative of cash available to fund cash needs. As a result, NOI should not be considered an alternative to cash flows as a measure of liquidity. Not all companies calculate NOI in the same manner. The Company considers NOI to be an appropriate supplemental measure to net income because it assists both investors and management in understanding the core operations of the Company’s retail and office real estate businesses.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14"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financial information by segment for the three and six months ended June 30, 2026 and 2025 (in thousands) and includes a reconciliation of the primary measure of segment profit (NOI) to net income (loss):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15"/>
        <w:gridCol w:w="1332"/>
        <w:gridCol w:w="1340"/>
        <w:gridCol w:w="270"/>
        <w:gridCol w:w="925"/>
        <w:gridCol w:w="139"/>
        <w:gridCol w:w="109"/>
        <w:gridCol w:w="109"/>
        <w:gridCol w:w="109"/>
        <w:gridCol w:w="273"/>
        <w:gridCol w:w="933"/>
        <w:gridCol w:w="140"/>
        <w:gridCol w:w="109"/>
        <w:gridCol w:w="109"/>
        <w:gridCol w:w="109"/>
        <w:gridCol w:w="211"/>
        <w:gridCol w:w="783"/>
        <w:gridCol w:w="109"/>
        <w:gridCol w:w="109"/>
        <w:gridCol w:w="109"/>
        <w:gridCol w:w="109"/>
        <w:gridCol w:w="211"/>
        <w:gridCol w:w="783"/>
        <w:gridCol w:w="160"/>
      </w:tblGrid>
      <w:tr>
        <w:trPr/>
        <w:tc>
          <w:tcPr>
            <w:tcW w:w="1615"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2026</w:t>
            </w:r>
          </w:p>
        </w:tc>
      </w:tr>
      <w:tr>
        <w:trPr/>
        <w:tc>
          <w:tcPr>
            <w:tcW w:w="4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Office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24,388</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24,676</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52,548</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Rental expenses</w:t>
            </w:r>
            <w:r>
              <w:rPr>
                <w:rFonts w:ascii="Times New Roman;serif" w:hAnsi="Times New Roman;serif"/>
                <w:b w:val="false"/>
                <w:color w:val="000000"/>
                <w:sz w:val="13"/>
              </w:rPr>
              <w:t>(2)</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operating expenses</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6,404</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9,235</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17,237</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net operating income</w:t>
            </w:r>
          </w:p>
        </w:tc>
        <w:tc>
          <w:tcPr>
            <w:tcW w:w="11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17,984</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15,441</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35,311</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development, and other pursuit costs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 charges</w:t>
            </w:r>
            <w:r>
              <w:rPr>
                <w:rFonts w:ascii="Times New Roman;serif" w:hAnsi="Times New Roman;serif"/>
                <w:b w:val="false"/>
                <w:color w:val="000000"/>
                <w:sz w:val="13"/>
              </w:rPr>
              <w:t>(3)</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real estate dispositions, net</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(4)</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income of unconsolidated real estate entities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derivatives and other</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credit loss provision</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(loss) from continuing operations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2,972</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(3,768)</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Discontinued operations</w:t>
            </w:r>
            <w:r>
              <w:rPr>
                <w:rFonts w:ascii="Times New Roman;serif" w:hAnsi="Times New Roman;serif"/>
                <w:b/>
                <w:color w:val="000000"/>
                <w:sz w:val="13"/>
              </w:rPr>
              <w:t>(5)</w:t>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from discontinued operations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from discontinued operations</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(17,267)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(17,267)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2,972</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(21,035)</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(1) Other consists of items not directly related to the Company’s retail and office real estate operations, including the operations of Smith's Landing, parking garages, and general corporate expenses. General and administrative expenses include corporate personnel salaries and benefits, bank charges, accounting and legal fees, and other corporate office costs.</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(2) Rental expenses represent costs directly associated with the operation and management of the Company’s real estate properties. Rental expenses include asset management fees, property management fees, repairs and maintenance, insurance, and utilities.</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(3) Management determined that certain prospective development projects no longer met the Company's investment and strategic criteria and ceased pursuit of these opportunities. As a result, the Company recorded an impairment charge of $1.8 million to write off capitalized predevelopment, planning, and pursuit costs associated with these projects during the three months ended June 30, 2026.</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(4) Interest expense is allocated by first allocating secured debt to the relevant properties. Unsecured debt is then allocated using the total value of unencumbered income producing property, and allocating to the retail and office segments based on property classification.</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(5) The segments previously reported as general contracting and real estate services, multifamily, and real estate financing are now presented as discontinued operations. Income from discontinued operations excludes revenues and expenses for the three months ended June 30, 2026 related to intercompany construction contracts of $0.9 million and $0.9 million, respectively, which are eliminated in consolidation.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15"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63"/>
        <w:gridCol w:w="1397"/>
        <w:gridCol w:w="1406"/>
        <w:gridCol w:w="273"/>
        <w:gridCol w:w="937"/>
        <w:gridCol w:w="141"/>
        <w:gridCol w:w="109"/>
        <w:gridCol w:w="109"/>
        <w:gridCol w:w="109"/>
        <w:gridCol w:w="277"/>
        <w:gridCol w:w="946"/>
        <w:gridCol w:w="142"/>
        <w:gridCol w:w="109"/>
        <w:gridCol w:w="109"/>
        <w:gridCol w:w="109"/>
        <w:gridCol w:w="211"/>
        <w:gridCol w:w="631"/>
        <w:gridCol w:w="109"/>
        <w:gridCol w:w="109"/>
        <w:gridCol w:w="109"/>
        <w:gridCol w:w="109"/>
        <w:gridCol w:w="211"/>
        <w:gridCol w:w="721"/>
        <w:gridCol w:w="159"/>
      </w:tblGrid>
      <w:tr>
        <w:trPr/>
        <w:tc>
          <w:tcPr>
            <w:tcW w:w="166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June 30, 2025</w:t>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 Real Estate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Office Real Estate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24,147</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23,219</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50,720</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Rental expenses</w:t>
            </w:r>
            <w:r>
              <w:rPr>
                <w:rFonts w:ascii="Times New Roman;serif" w:hAnsi="Times New Roman;serif"/>
                <w:b w:val="false"/>
                <w:color w:val="000000"/>
                <w:sz w:val="13"/>
              </w:rPr>
              <w:t>(2)</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operating expenses</w:t>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6,374</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8,305</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16,185</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net operating income</w:t>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17,773</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14,914</w:t>
            </w: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34,535</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development, and other pursuit costs</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466"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(3)</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income of unconsolidated real estate entities</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consolidation of real estate entities</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derivatives and other</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credit loss release</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from continuing operations</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3,540</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3,638</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Discontinued operations</w:t>
            </w:r>
            <w:r>
              <w:rPr>
                <w:rFonts w:ascii="Times New Roman;serif" w:hAnsi="Times New Roman;serif"/>
                <w:b/>
                <w:color w:val="000000"/>
                <w:sz w:val="13"/>
              </w:rPr>
              <w:t>(4)</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w:t>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from discontinued operations</w:t>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discontinued operations</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3,079</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3,540</w:t>
            </w: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(950)</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6,717</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(1) Other consists of items not directly related to the Company’s retail and office real estate operations, including the operations of Smith's Landing, parking garages, and general corporate expenses. General and administrative expenses include corporate personnel salaries and benefits, bank charges, accounting and legal fees, and other corporate office costs.</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(2) Rental expenses represent costs directly associated with the operation and management of the Company’s real estate properties. Rental expenses include asset management fees, property management fees, repairs and maintenance, insurance, and utilities.</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(3) Interest expense is allocated by first allocating secured debt to the relevant properties. Unsecured debt is then allocated using the total value of unencumbered income producing property, and allocating to the retail and office segments based on property classification.</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(4) The segments previously reported as general contracting and real estate services, multifamily, and real estate financing are now presented as discontinued operations. Income from discontinued operations excludes revenues and expenses for the three months ended June 30, 2025 related to intercompany construction contracts of $4.3 million and $4.2 million, respectively, which are eliminated in consolidation.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16"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06"/>
        <w:gridCol w:w="1320"/>
        <w:gridCol w:w="1328"/>
        <w:gridCol w:w="269"/>
        <w:gridCol w:w="922"/>
        <w:gridCol w:w="138"/>
        <w:gridCol w:w="109"/>
        <w:gridCol w:w="109"/>
        <w:gridCol w:w="109"/>
        <w:gridCol w:w="272"/>
        <w:gridCol w:w="930"/>
        <w:gridCol w:w="140"/>
        <w:gridCol w:w="109"/>
        <w:gridCol w:w="109"/>
        <w:gridCol w:w="109"/>
        <w:gridCol w:w="211"/>
        <w:gridCol w:w="783"/>
        <w:gridCol w:w="109"/>
        <w:gridCol w:w="109"/>
        <w:gridCol w:w="109"/>
        <w:gridCol w:w="109"/>
        <w:gridCol w:w="211"/>
        <w:gridCol w:w="826"/>
        <w:gridCol w:w="159"/>
      </w:tblGrid>
      <w:tr>
        <w:trPr/>
        <w:tc>
          <w:tcPr>
            <w:tcW w:w="1606"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2026</w:t>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 Real Estate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Office Real Estate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3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48,885</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48,596</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104,865</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3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Rental expenses</w:t>
            </w:r>
            <w:r>
              <w:rPr>
                <w:rFonts w:ascii="Times New Roman;serif" w:hAnsi="Times New Roman;serif"/>
                <w:b w:val="false"/>
                <w:color w:val="000000"/>
                <w:sz w:val="13"/>
              </w:rPr>
              <w:t>(2)</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operating expenses</w:t>
            </w:r>
          </w:p>
        </w:tc>
        <w:tc>
          <w:tcPr>
            <w:tcW w:w="11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13,360</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18,530</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34,829</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net operating income</w:t>
            </w:r>
          </w:p>
        </w:tc>
        <w:tc>
          <w:tcPr>
            <w:tcW w:w="11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35,525</w:t>
            </w: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30,066</w:t>
            </w: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70,036</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development, and other pursuit costs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 charges</w:t>
            </w:r>
            <w:r>
              <w:rPr>
                <w:rFonts w:ascii="Times New Roman;serif" w:hAnsi="Times New Roman;serif"/>
                <w:b w:val="false"/>
                <w:color w:val="000000"/>
                <w:sz w:val="13"/>
              </w:rPr>
              <w:t>(3)</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real estate dispositions, net</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(4)</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income of unconsolidated real estate entities</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derivatives and other</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credit loss provision</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from continuing operations</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7,473</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588</w:t>
            </w:r>
            <w:r>
              <w:rPr>
                <w:color w:val="000000"/>
              </w:rPr>
              <w:t>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(4,261)</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Discontinued operations</w:t>
            </w:r>
            <w:r>
              <w:rPr>
                <w:rFonts w:ascii="Times New Roman;serif" w:hAnsi="Times New Roman;serif"/>
                <w:b/>
                <w:color w:val="000000"/>
                <w:sz w:val="13"/>
              </w:rPr>
              <w:t>(5)</w:t>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 from discontinued operations</w:t>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from discontinued operations</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(47,156)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(47,156)</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7,473</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588</w:t>
            </w:r>
            <w:r>
              <w:rPr>
                <w:color w:val="000000"/>
              </w:rPr>
              <w:t>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(59,478)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(51,417)</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(1) Other consists of items not directly related to the Company’s retail and office real estate operations, including the operations of Smith's Landing, parking garages, and general corporate expenses. General and administrative expenses include corporate personnel salaries and benefits, bank charges, accounting and legal fees, and other corporate office costs.</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(2) Rental expenses represent costs directly associated with the operation and management of the Company’s real estate properties. Rental expenses include asset management fees, property management fees, repairs and maintenance, insurance, and utilities.</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(3) Management determined that certain prospective development projects no longer met the Company's investment and strategic criteria and ceased pursuit of these opportunities. As a result, the Company recorded an impairment charge of $1.8 million to write off capitalized predevelopment, planning, and pursuit costs associated with these projects during the six months ended June 30, 2026.</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(4) Interest expense is allocated by first allocating secured debt to the relevant properties. Unsecured debt is then allocated using the total value of unencumbered income producing property, and allocating to the retail and office segments based on property classification.</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(5) The segments previously reported as general contracting and real estate services, multifamily, and real estate financing are now presented as discontinued operations. Income from discontinued operations excludes revenues and expenses for the six months ended June 30, 2026 related to intercompany construction contracts of $1.6 million and $1.6 million, respectively, which are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17"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before="100" w:after="283"/>
        <w:jc w:val="both"/>
        <w:rPr/>
      </w:pPr>
      <w:r>
        <w:rPr/>
      </w:r>
    </w:p>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628"/>
        <w:gridCol w:w="1351"/>
        <w:gridCol w:w="1360"/>
        <w:gridCol w:w="271"/>
        <w:gridCol w:w="928"/>
        <w:gridCol w:w="139"/>
        <w:gridCol w:w="109"/>
        <w:gridCol w:w="109"/>
        <w:gridCol w:w="109"/>
        <w:gridCol w:w="274"/>
        <w:gridCol w:w="937"/>
        <w:gridCol w:w="141"/>
        <w:gridCol w:w="109"/>
        <w:gridCol w:w="109"/>
        <w:gridCol w:w="109"/>
        <w:gridCol w:w="211"/>
        <w:gridCol w:w="679"/>
        <w:gridCol w:w="109"/>
        <w:gridCol w:w="109"/>
        <w:gridCol w:w="109"/>
        <w:gridCol w:w="109"/>
        <w:gridCol w:w="211"/>
        <w:gridCol w:w="826"/>
        <w:gridCol w:w="159"/>
      </w:tblGrid>
      <w:tr>
        <w:trPr/>
        <w:tc>
          <w:tcPr>
            <w:tcW w:w="162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Six Months Ended June 30, 2025</w:t>
            </w:r>
          </w:p>
        </w:tc>
      </w:tr>
      <w:tr>
        <w:trPr/>
        <w:tc>
          <w:tcPr>
            <w:tcW w:w="4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Office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48,111</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46,234</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100,902</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3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Rental expenses</w:t>
            </w:r>
            <w:r>
              <w:rPr>
                <w:rFonts w:ascii="Times New Roman;serif" w:hAnsi="Times New Roman;serif"/>
                <w:b w:val="false"/>
                <w:color w:val="000000"/>
                <w:sz w:val="13"/>
              </w:rPr>
              <w:t>(2)</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segment operating expenses</w:t>
            </w:r>
          </w:p>
        </w:tc>
        <w:tc>
          <w:tcPr>
            <w:tcW w:w="11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13,002</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16,675</w:t>
            </w: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32,271</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net operating income</w:t>
            </w:r>
          </w:p>
        </w:tc>
        <w:tc>
          <w:tcPr>
            <w:tcW w:w="11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35,109</w:t>
            </w: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29,559</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68,631</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development, and other pursuit costs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w:t>
            </w:r>
            <w:r>
              <w:rPr>
                <w:rFonts w:ascii="Times New Roman;serif" w:hAnsi="Times New Roman;serif"/>
                <w:b w:val="false"/>
                <w:color w:val="000000"/>
                <w:sz w:val="13"/>
              </w:rPr>
              <w:t>(3)</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(14,309)</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 income of unconsolidated real estate entities</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consolidation of real estate entities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derivatives and other</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credit loss release</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from continuing operations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6,253</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(3,584)</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(2,966)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Discontinued operations</w:t>
            </w:r>
            <w:r>
              <w:rPr>
                <w:rFonts w:ascii="Times New Roman;serif" w:hAnsi="Times New Roman;serif"/>
                <w:b/>
                <w:color w:val="000000"/>
                <w:sz w:val="13"/>
              </w:rPr>
              <w:t>(4)</w:t>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from discontinued operations</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discontinued operations</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5,340</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6,253</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(3,584)</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2,374</w:t>
            </w:r>
            <w:r>
              <w:rPr>
                <w:color w:val="000000"/>
              </w:rPr>
              <w:t>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(1) Other consists of items not directly related to the Company’s retail and office real estate operations, including the operations of Smith's Landing, parking garages, and general corporate expenses. General and administrative expenses include corporate personnel salaries and benefits, bank charges, accounting and legal fees, and other corporate office costs.</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(2) Rental expenses represent costs directly associated with the operation and management of the Company’s real estate properties. Rental expenses include asset management fees, property management fees, repairs and maintenance, insurance, and utilities.</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(3) Interest expense is allocated by first allocating secured debt to the relevant properties. Unsecured debt is then allocated using the total value of unencumbered income producing property, and allocating to the retail and office segments based on property classification.</w:t>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(4) The segments previously reported as general contracting and real estate services, multifamily, and real estate financing are now presented as discontinued operations. Income from discontinued operations excludes revenues and expenses for the six months ended June 30, 2025 related to intercompany construction contracts of $7.1 million and $7.0 million, respectively, which are eliminated in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8"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key balance sheet data by segment (in thousands):</w:t>
      </w:r>
    </w:p>
    <w:p>
      <w:pPr>
        <w:pStyle w:val="TextBody"/>
        <w:bidi w:val="0"/>
        <w:spacing w:before="0" w:after="0"/>
        <w:jc w:val="left"/>
        <w:rPr/>
      </w:pPr>
      <w:r>
        <w:rPr/>
      </w:r>
    </w:p>
    <w:tbl>
      <w:tblPr>
        <w:tblW w:w="8941" w:type="dxa"/>
        <w:jc w:val="left"/>
        <w:tblInd w:w="0" w:type="dxa"/>
        <w:tblLayout w:type="fixed"/>
        <w:tblCellMar>
          <w:top w:w="28" w:type="dxa"/>
          <w:left w:w="28" w:type="dxa"/>
          <w:bottom w:w="28" w:type="dxa"/>
          <w:right w:w="28" w:type="dxa"/>
        </w:tblCellMar>
      </w:tblPr>
      <w:tblGrid>
        <w:gridCol w:w="952"/>
        <w:gridCol w:w="841"/>
        <w:gridCol w:w="846"/>
        <w:gridCol w:w="259"/>
        <w:gridCol w:w="1017"/>
        <w:gridCol w:w="134"/>
        <w:gridCol w:w="109"/>
        <w:gridCol w:w="109"/>
        <w:gridCol w:w="109"/>
        <w:gridCol w:w="262"/>
        <w:gridCol w:w="1027"/>
        <w:gridCol w:w="135"/>
        <w:gridCol w:w="109"/>
        <w:gridCol w:w="109"/>
        <w:gridCol w:w="109"/>
        <w:gridCol w:w="211"/>
        <w:gridCol w:w="826"/>
        <w:gridCol w:w="109"/>
        <w:gridCol w:w="109"/>
        <w:gridCol w:w="109"/>
        <w:gridCol w:w="109"/>
        <w:gridCol w:w="211"/>
        <w:gridCol w:w="976"/>
        <w:gridCol w:w="154"/>
      </w:tblGrid>
      <w:tr>
        <w:trPr/>
        <w:tc>
          <w:tcPr>
            <w:tcW w:w="95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Retail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Office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 estate investments, at cost</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813,579 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790,751 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investments, at cost</w:t>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838,426 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787,222 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i/>
          <w:color w:val="000000"/>
          <w:sz w:val="20"/>
        </w:rPr>
      </w:pPr>
      <w:r>
        <w:rPr>
          <w:rFonts w:ascii="Times New Roman;serif" w:hAnsi="Times New Roman;serif"/>
          <w:b/>
          <w:i/>
          <w:color w:val="000000"/>
          <w:sz w:val="20"/>
        </w:rPr>
        <w:t>4. Discontinued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financial results attributable to the general contracting and real estate services, multifamily, and real estate financing segments for all periods presented have been classified as discontinued operations within the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Major assets and liabilities related to discontinued operations as of June 30, 2026 and December 31, 2025 are shown below (in thousands):</w:t>
      </w:r>
    </w:p>
    <w:tbl>
      <w:tblPr>
        <w:tblW w:w="10205" w:type="dxa"/>
        <w:jc w:val="center"/>
        <w:tblInd w:w="0" w:type="dxa"/>
        <w:tblLayout w:type="fixed"/>
        <w:tblCellMar>
          <w:top w:w="28" w:type="dxa"/>
          <w:left w:w="28" w:type="dxa"/>
          <w:bottom w:w="28" w:type="dxa"/>
          <w:right w:w="28" w:type="dxa"/>
        </w:tblCellMar>
      </w:tblPr>
      <w:tblGrid>
        <w:gridCol w:w="983"/>
        <w:gridCol w:w="765"/>
        <w:gridCol w:w="770"/>
        <w:gridCol w:w="109"/>
        <w:gridCol w:w="109"/>
        <w:gridCol w:w="109"/>
        <w:gridCol w:w="659"/>
        <w:gridCol w:w="1268"/>
        <w:gridCol w:w="340"/>
        <w:gridCol w:w="109"/>
        <w:gridCol w:w="109"/>
        <w:gridCol w:w="109"/>
        <w:gridCol w:w="282"/>
        <w:gridCol w:w="1106"/>
        <w:gridCol w:w="145"/>
        <w:gridCol w:w="109"/>
        <w:gridCol w:w="109"/>
        <w:gridCol w:w="109"/>
        <w:gridCol w:w="280"/>
        <w:gridCol w:w="957"/>
        <w:gridCol w:w="144"/>
        <w:gridCol w:w="109"/>
        <w:gridCol w:w="109"/>
        <w:gridCol w:w="109"/>
        <w:gridCol w:w="211"/>
        <w:gridCol w:w="826"/>
        <w:gridCol w:w="161"/>
      </w:tblGrid>
      <w:tr>
        <w:trPr/>
        <w:tc>
          <w:tcPr>
            <w:tcW w:w="98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5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General Contracting and Real Estate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Multifamily Real Estate</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Real Estate Financing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160,011 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lease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of discontinued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175,533 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Indebtedness,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2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of discontinued operations</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81,011 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81,011 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9"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191"/>
        <w:gridCol w:w="916"/>
        <w:gridCol w:w="921"/>
        <w:gridCol w:w="109"/>
        <w:gridCol w:w="109"/>
        <w:gridCol w:w="109"/>
        <w:gridCol w:w="390"/>
        <w:gridCol w:w="1335"/>
        <w:gridCol w:w="201"/>
        <w:gridCol w:w="109"/>
        <w:gridCol w:w="109"/>
        <w:gridCol w:w="109"/>
        <w:gridCol w:w="257"/>
        <w:gridCol w:w="1008"/>
        <w:gridCol w:w="133"/>
        <w:gridCol w:w="109"/>
        <w:gridCol w:w="109"/>
        <w:gridCol w:w="109"/>
        <w:gridCol w:w="248"/>
        <w:gridCol w:w="972"/>
        <w:gridCol w:w="128"/>
        <w:gridCol w:w="109"/>
        <w:gridCol w:w="109"/>
        <w:gridCol w:w="109"/>
        <w:gridCol w:w="211"/>
        <w:gridCol w:w="826"/>
        <w:gridCol w:w="160"/>
      </w:tblGrid>
      <w:tr>
        <w:trPr/>
        <w:tc>
          <w:tcPr>
            <w:tcW w:w="119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General Contracting and Real Estate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Multifamily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Real Estate Financing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3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 estate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616,645 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616,830 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128,674 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receivables, including retentions,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contract costs and estimated earnings in excess of billings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 right-of-use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lease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 of discontinued operations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29,960 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641,902 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128,674 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800,536 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Indebtedness,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242,171 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242,171 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payables, including retentions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Billings in excess of construction contract costs and estimated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 of discontinued operations</w:t>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30,599 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255,893 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286,502 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20"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Summarized results of discontinued operations for the three and six months ended June 30, 2026 and 2025 are shown below (in thousands):</w:t>
      </w:r>
    </w:p>
    <w:tbl>
      <w:tblPr>
        <w:tblW w:w="10205" w:type="dxa"/>
        <w:jc w:val="left"/>
        <w:tblInd w:w="0" w:type="dxa"/>
        <w:tblLayout w:type="fixed"/>
        <w:tblCellMar>
          <w:top w:w="28" w:type="dxa"/>
          <w:left w:w="28" w:type="dxa"/>
          <w:bottom w:w="28" w:type="dxa"/>
          <w:right w:w="28" w:type="dxa"/>
        </w:tblCellMar>
      </w:tblPr>
      <w:tblGrid>
        <w:gridCol w:w="1159"/>
        <w:gridCol w:w="807"/>
        <w:gridCol w:w="810"/>
        <w:gridCol w:w="109"/>
        <w:gridCol w:w="109"/>
        <w:gridCol w:w="109"/>
        <w:gridCol w:w="463"/>
        <w:gridCol w:w="1508"/>
        <w:gridCol w:w="239"/>
        <w:gridCol w:w="109"/>
        <w:gridCol w:w="109"/>
        <w:gridCol w:w="109"/>
        <w:gridCol w:w="298"/>
        <w:gridCol w:w="1020"/>
        <w:gridCol w:w="154"/>
        <w:gridCol w:w="109"/>
        <w:gridCol w:w="109"/>
        <w:gridCol w:w="109"/>
        <w:gridCol w:w="278"/>
        <w:gridCol w:w="882"/>
        <w:gridCol w:w="143"/>
        <w:gridCol w:w="109"/>
        <w:gridCol w:w="109"/>
        <w:gridCol w:w="109"/>
        <w:gridCol w:w="211"/>
        <w:gridCol w:w="764"/>
        <w:gridCol w:w="161"/>
      </w:tblGrid>
      <w:tr>
        <w:trPr/>
        <w:tc>
          <w:tcPr>
            <w:tcW w:w="115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General Contracting and Real Estate Services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Multifamily Real Estate</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Real Estate Financing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contracting and real estate services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(real estate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contracting and real estate services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(real estate financing)</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 of real estate assets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disposition,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Non-operating income and expenses</w:t>
            </w:r>
            <w:r>
              <w:rPr>
                <w:rFonts w:ascii="Times New Roman;serif" w:hAnsi="Times New Roman;serif"/>
                <w:b w:val="false"/>
                <w:color w:val="000000"/>
                <w:sz w:val="13"/>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2"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Less: Net (income) loss from discontinued operations attributable to noncontrolling interests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2"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from discontinued operations attributable to AH Realty Trust,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(13,422)</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The 2026 results of the general contracting and real estate services business reflect activity through April 30, 2026, the date on which the Company completed the sale of the business. The 2026 multifamily real estate results include results for all 13 properties classified within discontinued operations through May 20, 2026, the date on which the Company completed the First Closing of the Multifamily Portfolio Sale and sold nine of the 13 properties; results after that date reflect only the remaining properties included in discontinued operations.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Interest expense within the real estate financing segment is allocated based on the average outstanding principal of notes receivable in the real estate financing portfolio, and the effective interest rate on the credit facility, the M&amp;T term loan facility, and the TD term loan facility, each as defined in Note 8.</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(3) Impairment of real estate assets recognized for the three months ended June 30, 2026 represents impairment of the note receivable secured by the Solis Kennesaw real estate financing investment of $13.5 million, and impairment of the multifamily properties The Everly and Solis Gainesville II of $12.2 million and Greenside Apartments of $8.7 million.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 Non-operating income and expenses includes interest income (excluding real estate financing), acquisition, development, and other pursuit costs, interest expense (excluding real estate financing), loss on extinguishment of debt, change in fair value of derivatives and other, unrealized credit loss release (provision), and other income (expense), net.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 Interest expense (excluding real estate financing segment) is allocated by first allocating secured debt to the relevant properties. Unsecured debt is then allocated using the total value of unencumbered income producing property, and allocated based on property classification.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21"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78"/>
        <w:gridCol w:w="833"/>
        <w:gridCol w:w="837"/>
        <w:gridCol w:w="109"/>
        <w:gridCol w:w="109"/>
        <w:gridCol w:w="109"/>
        <w:gridCol w:w="642"/>
        <w:gridCol w:w="1236"/>
        <w:gridCol w:w="332"/>
        <w:gridCol w:w="109"/>
        <w:gridCol w:w="109"/>
        <w:gridCol w:w="109"/>
        <w:gridCol w:w="290"/>
        <w:gridCol w:w="994"/>
        <w:gridCol w:w="149"/>
        <w:gridCol w:w="109"/>
        <w:gridCol w:w="109"/>
        <w:gridCol w:w="109"/>
        <w:gridCol w:w="296"/>
        <w:gridCol w:w="865"/>
        <w:gridCol w:w="152"/>
        <w:gridCol w:w="109"/>
        <w:gridCol w:w="109"/>
        <w:gridCol w:w="109"/>
        <w:gridCol w:w="211"/>
        <w:gridCol w:w="721"/>
        <w:gridCol w:w="161"/>
      </w:tblGrid>
      <w:tr>
        <w:trPr/>
        <w:tc>
          <w:tcPr>
            <w:tcW w:w="117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General Contracting and Real Estate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Multifamily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Real Estate Financing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contracting and real estate services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31,975 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(real estate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contracting and real estate services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(30,592)</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(real estate financing)</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(5,036)</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Non-operating income and expenses</w:t>
            </w:r>
            <w:r>
              <w:rPr>
                <w:rFonts w:ascii="Times New Roman;serif" w:hAnsi="Times New Roman;serif"/>
                <w:b w:val="false"/>
                <w:color w:val="000000"/>
                <w:sz w:val="13"/>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5"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Less: Net (income) loss from discontinued operations attributable to noncontrolling interests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5"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from discontinued operations attributable to AH Realty Trust,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 Interest expense within the real estate financing segment is allocated based on the average outstanding principal of notes receivable in the real estate financing portfolio, and the effective interest rate on the credit facility, the M&amp;T term loan facility, and the TD term loan facility, each as defined in Note 8.</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(2) Non-operating income and expenses includes interest income (excluding real estate financing), acquisition, development, and other pursuit costs, interest expense (excluding real estate financing), gain on consolidation of real estate entities, change in fair value of derivatives and other, equity in loss of unconsolidated real estate entities, unrealized credit loss release (provision), and other income (expense), net.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 Interest expense (excluding real estate financing segment) is allocated by first allocating secured debt to the relevant properties. Unsecured debt is then allocated using the total value of unencumbered income producing property, and allocated based on property classification.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22"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53"/>
        <w:gridCol w:w="798"/>
        <w:gridCol w:w="801"/>
        <w:gridCol w:w="109"/>
        <w:gridCol w:w="109"/>
        <w:gridCol w:w="109"/>
        <w:gridCol w:w="459"/>
        <w:gridCol w:w="1495"/>
        <w:gridCol w:w="237"/>
        <w:gridCol w:w="109"/>
        <w:gridCol w:w="109"/>
        <w:gridCol w:w="109"/>
        <w:gridCol w:w="297"/>
        <w:gridCol w:w="1016"/>
        <w:gridCol w:w="153"/>
        <w:gridCol w:w="109"/>
        <w:gridCol w:w="109"/>
        <w:gridCol w:w="109"/>
        <w:gridCol w:w="262"/>
        <w:gridCol w:w="957"/>
        <w:gridCol w:w="135"/>
        <w:gridCol w:w="109"/>
        <w:gridCol w:w="109"/>
        <w:gridCol w:w="109"/>
        <w:gridCol w:w="211"/>
        <w:gridCol w:w="764"/>
        <w:gridCol w:w="159"/>
      </w:tblGrid>
      <w:tr>
        <w:trPr/>
        <w:tc>
          <w:tcPr>
            <w:tcW w:w="115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General Contracting and Real Estate Services</w:t>
            </w:r>
            <w:r>
              <w:rPr>
                <w:rFonts w:ascii="Times New Roman;serif" w:hAnsi="Times New Roman;serif"/>
                <w:b/>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Multifamily Real Estate</w:t>
            </w:r>
            <w:r>
              <w:rPr>
                <w:rFonts w:ascii="Times New Roman;serif" w:hAnsi="Times New Roman;serif"/>
                <w:b/>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Real Estate Financing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contracting and real estate services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(real estate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contracting and real estate services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(18,634)</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(real estate financing)</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 of real estate assets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(20,880)</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on disposition,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Non-operating income and expenses</w:t>
            </w:r>
            <w:r>
              <w:rPr>
                <w:rFonts w:ascii="Times New Roman;serif" w:hAnsi="Times New Roman;serif"/>
                <w:b w:val="false"/>
                <w:color w:val="000000"/>
                <w:sz w:val="13"/>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Loss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(5,908)</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(35,172)</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Less: Net (income) loss from discontinued operations attributable to noncontrolling interests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4"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from discontinued operations attributable to AH Realty Trust,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(36,797)</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 The 2026 results of the general contracting and real estate services business reflect activity through April 30, 2026, the date on which the Company completed the sale of the business. The 2026 multifamily real estate results include results for all 13 properties classified within discontinued operations through May 20, 2026, the date on which the Company completed the First Closing of the Multifamily Portfolio Sale and sold nine of the 13 properties; results after that date reflect only the remaining properties included in discontinued operations.</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(2) Interest expense within the real estate financing segment is allocated based on the average outstanding principal of notes receivable in the real estate financing portfolio, and the effective interest rate on the credit facility, the M&amp;T term loan facility, and the TD term loan facility, each as defined in Note 8.</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 Impairment of real estate assets recognized for the three months ended June 30, 2026 represents impairment of the note receivable secured by the Solis Kennesaw real estate financing investment of $13.5 million, and impairment of the multifamily assets The Everly and Solis Gainesville II of $12.2 million and Greenside Apartments of $8.7 million. Impairment of real estate assets recognized for the six months ended June 30, 2026 also includes impairment of notes receivable secured by the Solis Peachtree Corners, Solis North Creek, and Solis Kennesaw real estate financing investments of $4.4 million, $1.0 million, and $23.8 million, respectively.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 Non-operating income and expenses includes interest income (excluding real estate financing), acquisition, development, and other pursuit costs, interest expense (excluding real estate financing), loss on extinguishment of debt, change in fair value of derivatives and other, unrealized credit loss release (provision), and other income (expense), net.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 Interest expense (excluding real estate financing segment) is allocated by first allocating secured debt to the relevant properties. Unsecured debt is then allocated using the total value of unencumbered income producing property, and allocated based on property classification.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23"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78"/>
        <w:gridCol w:w="833"/>
        <w:gridCol w:w="836"/>
        <w:gridCol w:w="109"/>
        <w:gridCol w:w="109"/>
        <w:gridCol w:w="109"/>
        <w:gridCol w:w="497"/>
        <w:gridCol w:w="1455"/>
        <w:gridCol w:w="258"/>
        <w:gridCol w:w="109"/>
        <w:gridCol w:w="109"/>
        <w:gridCol w:w="109"/>
        <w:gridCol w:w="290"/>
        <w:gridCol w:w="994"/>
        <w:gridCol w:w="149"/>
        <w:gridCol w:w="109"/>
        <w:gridCol w:w="109"/>
        <w:gridCol w:w="109"/>
        <w:gridCol w:w="296"/>
        <w:gridCol w:w="865"/>
        <w:gridCol w:w="152"/>
        <w:gridCol w:w="109"/>
        <w:gridCol w:w="109"/>
        <w:gridCol w:w="109"/>
        <w:gridCol w:w="211"/>
        <w:gridCol w:w="721"/>
        <w:gridCol w:w="162"/>
      </w:tblGrid>
      <w:tr>
        <w:trPr/>
        <w:tc>
          <w:tcPr>
            <w:tcW w:w="117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General Contracting and Real Estate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Multifamily Real Estate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Real Estate Financing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contracting and real estate services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78,590 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(real estate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contracting and real estate services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(75,842)</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(real estate financing)</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(9,180)</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Non-operating income and expenses</w:t>
            </w:r>
            <w:r>
              <w:rPr>
                <w:rFonts w:ascii="Times New Roman;serif" w:hAnsi="Times New Roman;serif"/>
                <w:b w:val="false"/>
                <w:color w:val="000000"/>
                <w:sz w:val="13"/>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benefit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Income from discontinued operations,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4" w:type="dxa"/>
            <w:gridSpan w:val="21"/>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Less: Net (income) loss from discontinued operations attributable to noncontrolling interests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Partnership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4" w:type="dxa"/>
            <w:gridSpan w:val="21"/>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from discontinued operations attributable to AH Realty Trust,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 Interest expense within the real estate financing segment is allocated based on the average outstanding principal of notes receivable in the real estate financing portfolio, and the effective interest rate on the credit facility, the M&amp;T term loan facility, and the TD term loan facility, each as defined in Note 8.</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(2) Non-operating income and expenses includes interest income (excluding real estate financing), acquisition, development, and other pursuit costs, interest expense (excluding real estate financing), gain on consolidation of real estate entities, change in fair value of derivatives and other, equity in loss of unconsolidated real estate entities, unrealized credit loss release (provision), and other income (expense), net.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 Interest expense (excluding real estate financing segment) is allocated by first allocating secured debt to the relevant properties. Unsecured debt is then allocated using the total value of unencumbered income producing property, and allocated based on property classification.</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i/>
          <w:color w:val="000000"/>
          <w:sz w:val="20"/>
        </w:rPr>
      </w:pPr>
      <w:r>
        <w:rPr>
          <w:rFonts w:ascii="Times New Roman;serif" w:hAnsi="Times New Roman;serif"/>
          <w:b/>
          <w:i/>
          <w:color w:val="000000"/>
          <w:sz w:val="20"/>
        </w:rPr>
        <w:t>General Contracting and Real Estate Services</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Exit and Disposal Costs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27, 2026, the Company executed a purchase and sale agreement to sell its general contracting and real estate services business for aggregate economic consideration of $2.4 million, which subsequently closed on April 30, 2026. Economic consideration included assumed severance contracts with certain members of the general contracting and real estate services management, as well as GAAP consideration of a nominal amount of cash and a note receivable recorded at fair value of $0.8 million. The note receivable has a stated principal amount of $0.8 million, matures three years from the closing date, bears no interest for the first 24 months following closing, and thereafter bears interest at the WSJ prime rate plus 2%, with interest payable monthly in arrears. The difference between the stated principal amount and the initial fair value of the note receivable was recorded as a discount of less than $0.1 million and will be accreted to interest income over the term of the note.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transaction, the buyer assumed certain employment-related severance economics through a mirror severance arrangement for certain transferred employees. The Company determined that the mirror severance arrangement was substantially equivalent to the pre-existing severance arrangement and represented employment-related obligations associated with the disposed business and covered employees, rather than consideration received by the Company for the membership interests sold. Accordingly, the severance arrangement was not included in sale consideration used to measure the loss on disposition.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transaction, the Company recognized a loss on disposition of $2.2 million related to the sale of the general contracting and real estate services business, which is included in loss from discontinued operations in the accompanying condensed consolidated statements of comprehensive (loss) income.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4"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accelerated vesting of 47,784 outstanding stock</w:t>
        <w:noBreakHyphen/>
        <w:t>based compensation awards held by employees who transferred to the buyer in connection with the transaction. Following the disposition, the Company entered into a 90-day transition services agreement to provide human resources, payroll, and information technology services to the buyer. Amounts related to the transition services arrangement were not material for the three and six months ended June 30,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also retained certain limited indemnification obligations and other retained exposures under the purchase and sale agreement relating to work performed under the prior ownership structure. Retained balances arising from the disposition, including the note receivable and other post-closing receivables or obligations, are presented in the appropriate balance sheet captions.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Construction Contracts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contract costs and estimated earnings in excess of billings represent reimbursable costs and amounts earned under contracts in progress as of the balance sheet date. Such amounts become billable according to contract terms, which usually consider the passage of time, achievement of certain milestones, or completion of the project. Following the disposition of the general contracting and real estate services business, all construction contract costs and estimated earnings in excess of billings were disposed, and no further contracts are expected to be billed or collected as of June 30,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Billings in excess of construction contract costs and estimated earnings represent billings or collections on contracts made in advance of revenue recognized.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to the balances in the Company’s construction contract costs and estimated earnings in excess of billings account and the billings in excess of construction contract costs and estimated earnings account for the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951"/>
        <w:gridCol w:w="688"/>
        <w:gridCol w:w="692"/>
        <w:gridCol w:w="109"/>
        <w:gridCol w:w="109"/>
        <w:gridCol w:w="109"/>
        <w:gridCol w:w="370"/>
        <w:gridCol w:w="1085"/>
        <w:gridCol w:w="194"/>
        <w:gridCol w:w="109"/>
        <w:gridCol w:w="109"/>
        <w:gridCol w:w="109"/>
        <w:gridCol w:w="361"/>
        <w:gridCol w:w="1058"/>
        <w:gridCol w:w="188"/>
        <w:gridCol w:w="109"/>
        <w:gridCol w:w="109"/>
        <w:gridCol w:w="109"/>
        <w:gridCol w:w="370"/>
        <w:gridCol w:w="1085"/>
        <w:gridCol w:w="194"/>
        <w:gridCol w:w="109"/>
        <w:gridCol w:w="109"/>
        <w:gridCol w:w="109"/>
        <w:gridCol w:w="355"/>
        <w:gridCol w:w="1036"/>
        <w:gridCol w:w="270"/>
      </w:tblGrid>
      <w:tr>
        <w:trPr/>
        <w:tc>
          <w:tcPr>
            <w:tcW w:w="95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2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w:t>
              <w:br/>
              <w:t>June 30, 2025</w:t>
            </w:r>
          </w:p>
        </w:tc>
      </w:tr>
      <w:tr>
        <w:trPr/>
        <w:tc>
          <w:tcPr>
            <w:tcW w:w="2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Construction contract costs and estimated earnings in excess of billings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Billings in excess of construction contract costs and estimated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Construction contract costs and estimated earnings in excess of billings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Billings in excess of construction contract costs and estimated earnings</w:t>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that was included in the balance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Increases due to billings, excluding amounts recognized as revenue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to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contract costs and estimated earnings not billed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due to cumulative catch-up adjustment arising from changes in the estimate of the stage of completion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Disposed of as a result of the general contracting and real estate services disposition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deferred pre-contract costs when such costs were directly associated with specific anticipated contracts and their recovery was probable. Deferred pre-contract costs included in the construction business were $2.6 million at the date of the sale on April 30, 2026. No deferred pre-contract costs remained on the Company's balance sheet as of June 30, 2026. Pre-contract costs of $2.4 million were deferred as of December 31, 2025. Amortization of pre-contract costs for the six months ended June 30, 2026 and 2025 was less than $0.1 million and less than $0.1 million, respectively.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Construction receivables and payables include retentions, which are amounts that are generally withheld until the completion of the contract or the satisfaction of certain restrictive conditions such as fulfillment guarantees. As of the date of the sale on April 30, 2026, construction receivables included retentions of $4.0 million. No construction receivables or retentions remained on the Company's balance sheet as of June 30, 2026. As of December 31, 2025, construction receivables included retentions of $5.7 million. As of the date of the sale on April 30, 2026, construction payables included retentions of $5.8 million. No construction payables or retentions remained on the Company's balance sheet as of June 30, 2026. As of December 31, 2025, construction payables included retentions of $7.4 million. Following the disposition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5"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contracting and real estate services business, all construction receivables and payables, including retentions, were disposed, and no further receivables are expected to be collected or payables expected to settle as of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net position on uncompleted construction contracts comprised the following as of June 30, 2026 and December 31, 2025 (in thousands):</w:t>
      </w:r>
    </w:p>
    <w:tbl>
      <w:tblPr>
        <w:tblW w:w="9916" w:type="dxa"/>
        <w:jc w:val="left"/>
        <w:tblInd w:w="0" w:type="dxa"/>
        <w:tblLayout w:type="fixed"/>
        <w:tblCellMar>
          <w:top w:w="28" w:type="dxa"/>
          <w:left w:w="28" w:type="dxa"/>
          <w:bottom w:w="28" w:type="dxa"/>
          <w:right w:w="28" w:type="dxa"/>
        </w:tblCellMar>
      </w:tblPr>
      <w:tblGrid>
        <w:gridCol w:w="2501"/>
        <w:gridCol w:w="2193"/>
        <w:gridCol w:w="2205"/>
        <w:gridCol w:w="211"/>
        <w:gridCol w:w="826"/>
        <w:gridCol w:w="109"/>
        <w:gridCol w:w="109"/>
        <w:gridCol w:w="109"/>
        <w:gridCol w:w="109"/>
        <w:gridCol w:w="273"/>
        <w:gridCol w:w="1072"/>
        <w:gridCol w:w="199"/>
      </w:tblGrid>
      <w:tr>
        <w:trPr/>
        <w:tc>
          <w:tcPr>
            <w:tcW w:w="2501"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2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6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on uncompleted construction contracts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958,225 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32,338 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(990,371)</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Disposed of as a result of the general contracting and real estate services disposition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position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contract costs and estimated earnings in excess of billings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3,666 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construction contract costs and estimated earnings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position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As of the date of the sale on April 30, 2026, construction contract costs and estimated earnings in excess of billings was $3.4 million and billings in excess of construction contract costs and estimate earnings was $0.3 million. As of June 30, 2026, the Company has no uncompleted construction contracts. A negative net position indicates that billings exceed costs and recognized profits. Changes in the net position from December 31, 2025 primarily reflect the Company's disposal of the general contracting and real estate services business, as well as project progress, timing of customer billings, and costs incurred on ongoing contracts.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balances and changes in construction contract price allocated to unsatisfied performance obligations (backlog) as of June 30, 2026 and 2025 were as follows (in thousands):</w:t>
      </w:r>
    </w:p>
    <w:tbl>
      <w:tblPr>
        <w:tblW w:w="8916" w:type="dxa"/>
        <w:jc w:val="left"/>
        <w:tblInd w:w="0" w:type="dxa"/>
        <w:tblLayout w:type="fixed"/>
        <w:tblCellMar>
          <w:top w:w="28" w:type="dxa"/>
          <w:left w:w="28" w:type="dxa"/>
          <w:bottom w:w="28" w:type="dxa"/>
          <w:right w:w="28" w:type="dxa"/>
        </w:tblCellMar>
      </w:tblPr>
      <w:tblGrid>
        <w:gridCol w:w="2027"/>
        <w:gridCol w:w="1778"/>
        <w:gridCol w:w="1789"/>
        <w:gridCol w:w="109"/>
        <w:gridCol w:w="109"/>
        <w:gridCol w:w="109"/>
        <w:gridCol w:w="211"/>
        <w:gridCol w:w="721"/>
        <w:gridCol w:w="109"/>
        <w:gridCol w:w="109"/>
        <w:gridCol w:w="109"/>
        <w:gridCol w:w="109"/>
        <w:gridCol w:w="211"/>
        <w:gridCol w:w="826"/>
        <w:gridCol w:w="109"/>
        <w:gridCol w:w="109"/>
        <w:gridCol w:w="109"/>
        <w:gridCol w:w="109"/>
        <w:gridCol w:w="154"/>
      </w:tblGrid>
      <w:tr>
        <w:trPr/>
        <w:tc>
          <w:tcPr>
            <w:tcW w:w="2027"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contracts/change orders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performed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Contracts disposed as a result of the general contracting disposition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i/>
          <w:color w:val="000000"/>
          <w:sz w:val="20"/>
        </w:rPr>
      </w:pPr>
      <w:r>
        <w:rPr>
          <w:rFonts w:ascii="Times New Roman;serif" w:hAnsi="Times New Roman;serif"/>
          <w:b w:val="false"/>
          <w:i/>
          <w:color w:val="000000"/>
          <w:sz w:val="20"/>
        </w:rPr>
        <w:t xml:space="preserve">Related Party Transactions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provided general contracting services to Harbor Point Parcel 3. See Note 6 for more information. During the three and six months ended June 30, 2026, the Company did not recognize any gross profit relating to Harbor Point Parcel 3. </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Real Estate Financing</w:t>
      </w:r>
    </w:p>
    <w:p>
      <w:pPr>
        <w:pStyle w:val="TextBody"/>
        <w:bidi w:val="0"/>
        <w:spacing w:before="0" w:after="0"/>
        <w:ind w:left="0" w:right="0" w:hanging="360"/>
        <w:jc w:val="left"/>
        <w:rPr/>
      </w:pPr>
      <w:r>
        <w:rPr/>
      </w:r>
    </w:p>
    <w:p>
      <w:pPr>
        <w:pStyle w:val="TextBody"/>
        <w:bidi w:val="0"/>
        <w:spacing w:lineRule="auto" w:line="288" w:before="0" w:after="0"/>
        <w:ind w:left="0" w:right="0" w:hanging="1080"/>
        <w:jc w:val="left"/>
        <w:rPr>
          <w:rFonts w:ascii="Times New Roman;serif" w:hAnsi="Times New Roman;serif"/>
          <w:b w:val="false"/>
          <w:i/>
          <w:color w:val="000000"/>
          <w:sz w:val="20"/>
        </w:rPr>
      </w:pPr>
      <w:r>
        <w:rPr>
          <w:rFonts w:ascii="Times New Roman;serif" w:hAnsi="Times New Roman;serif"/>
          <w:b w:val="false"/>
          <w:i/>
          <w:color w:val="000000"/>
          <w:sz w:val="20"/>
        </w:rPr>
        <w:t>Notes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the following notes receivable outstanding as of June 30, 2026 and December 31, 2025 ($ in thousands):</w:t>
      </w:r>
    </w:p>
    <w:tbl>
      <w:tblPr>
        <w:tblW w:w="11417" w:type="dxa"/>
        <w:jc w:val="left"/>
        <w:tblInd w:w="0" w:type="dxa"/>
        <w:tblLayout w:type="fixed"/>
        <w:tblCellMar>
          <w:top w:w="28" w:type="dxa"/>
          <w:left w:w="28" w:type="dxa"/>
          <w:bottom w:w="28" w:type="dxa"/>
          <w:right w:w="28" w:type="dxa"/>
        </w:tblCellMar>
      </w:tblPr>
      <w:tblGrid>
        <w:gridCol w:w="499"/>
        <w:gridCol w:w="268"/>
        <w:gridCol w:w="269"/>
        <w:gridCol w:w="109"/>
        <w:gridCol w:w="109"/>
        <w:gridCol w:w="109"/>
        <w:gridCol w:w="255"/>
        <w:gridCol w:w="255"/>
        <w:gridCol w:w="256"/>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367"/>
        <w:gridCol w:w="109"/>
        <w:gridCol w:w="109"/>
        <w:gridCol w:w="109"/>
        <w:gridCol w:w="329"/>
        <w:gridCol w:w="329"/>
        <w:gridCol w:w="468"/>
      </w:tblGrid>
      <w:tr>
        <w:trPr/>
        <w:tc>
          <w:tcPr>
            <w:tcW w:w="49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loan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16"/>
              </w:rPr>
            </w:pPr>
            <w:r>
              <w:rPr>
                <w:rFonts w:ascii="Times New Roman;serif" w:hAnsi="Times New Roman;serif"/>
                <w:b/>
                <w:color w:val="000000"/>
                <w:sz w:val="16"/>
              </w:rPr>
              <w:t>Real Estate Financing Project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Accrued interest and fees</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loan amount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loan amount</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principal commitment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rate</w:t>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 compounding</w:t>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Solis Kennesaw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Annually</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Solis Peachtree Corners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Annually</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Allure at Edinburgh</w:t>
            </w: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(6)</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None</w:t>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Solis North Creek</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(3)</w:t>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Annually</w:t>
            </w:r>
          </w:p>
        </w:tc>
      </w:tr>
      <w:tr>
        <w:trPr/>
        <w:tc>
          <w:tcPr>
            <w:tcW w:w="212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1453" w:type="dxa"/>
            <w:gridSpan w:val="6"/>
            <w:tcBorders/>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Allowance for credit losses </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40"/>
              <w:jc w:val="left"/>
              <w:rPr/>
            </w:pPr>
            <w:r>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notes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 Reflects accrued interest and unused commitment fees, net of discounts due to unamortized equity fees.</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(2) Outstanding loan amounts include any accrued and unpaid interest, and accrued fees, as applicable, net of impairment.</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(3) The interest rate varies over the life of the loans and the Company also earns an unused commitment fee on amounts not drawn on the loans.</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(4) On March 27, 2026, the Company sold these investments for total proceeds of $63.8 million.</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(5) This note receivable was redeemed on April 30, 2026. Refer to Note 6 for further details.</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(6) The interest rate varies over the life of the loan.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(7) The amount as of December 31, 2025 excludes less than $0.1 million of CECL allowance that relates to unfunded commitments, which was recorded as a liability in other liabilities in the consolidated balance sheet.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on the notes receivable is accrued and funded utilizing the interest reserves for each loan and such accrued interest is generally added to the loan receivable balances. The Company recognized interest income for the three and six months ended June 30, 2026 and 2025 as follows (in thousands):</w:t>
      </w:r>
    </w:p>
    <w:tbl>
      <w:tblPr>
        <w:tblW w:w="7862" w:type="dxa"/>
        <w:jc w:val="left"/>
        <w:tblInd w:w="0" w:type="dxa"/>
        <w:tblLayout w:type="fixed"/>
        <w:tblCellMar>
          <w:top w:w="28" w:type="dxa"/>
          <w:left w:w="28" w:type="dxa"/>
          <w:bottom w:w="28" w:type="dxa"/>
          <w:right w:w="28" w:type="dxa"/>
        </w:tblCellMar>
      </w:tblPr>
      <w:tblGrid>
        <w:gridCol w:w="829"/>
        <w:gridCol w:w="731"/>
        <w:gridCol w:w="734"/>
        <w:gridCol w:w="109"/>
        <w:gridCol w:w="109"/>
        <w:gridCol w:w="109"/>
        <w:gridCol w:w="259"/>
        <w:gridCol w:w="500"/>
        <w:gridCol w:w="134"/>
        <w:gridCol w:w="134"/>
        <w:gridCol w:w="134"/>
        <w:gridCol w:w="134"/>
        <w:gridCol w:w="259"/>
        <w:gridCol w:w="574"/>
        <w:gridCol w:w="134"/>
        <w:gridCol w:w="145"/>
        <w:gridCol w:w="145"/>
        <w:gridCol w:w="145"/>
        <w:gridCol w:w="237"/>
        <w:gridCol w:w="457"/>
        <w:gridCol w:w="122"/>
        <w:gridCol w:w="122"/>
        <w:gridCol w:w="122"/>
        <w:gridCol w:w="122"/>
        <w:gridCol w:w="237"/>
        <w:gridCol w:w="524"/>
        <w:gridCol w:w="122"/>
        <w:gridCol w:w="140"/>
        <w:gridCol w:w="140"/>
        <w:gridCol w:w="199"/>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Real Estate Financing Project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Solis Gainesville II</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(2)(3)</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(2)(3)</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Solis Kennesaw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(2)(3)</w:t>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(2)(3)</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Solis Peachtree Corners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(2)(3)</w:t>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(2)(3)</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Allure at Edinburgh</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Solis North Creek</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(3)</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883"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68" w:before="0" w:after="0"/>
        <w:jc w:val="left"/>
        <w:rPr/>
      </w:pPr>
      <w:r>
        <w:rPr>
          <w:rFonts w:ascii="Times New Roman;serif" w:hAnsi="Times New Roman;serif"/>
          <w:b w:val="false"/>
          <w:color w:val="000000"/>
          <w:sz w:val="18"/>
        </w:rPr>
        <w:t>(</w:t>
      </w:r>
      <w:r>
        <w:rPr>
          <w:rFonts w:ascii="Times New Roman;serif" w:hAnsi="Times New Roman;serif"/>
          <w:b w:val="false"/>
          <w:color w:val="000000"/>
          <w:sz w:val="16"/>
        </w:rPr>
        <w:t>1</w:t>
      </w:r>
      <w:r>
        <w:rPr>
          <w:rFonts w:ascii="Times New Roman;serif" w:hAnsi="Times New Roman;serif"/>
          <w:b w:val="false"/>
          <w:color w:val="000000"/>
          <w:sz w:val="18"/>
        </w:rPr>
        <w:t xml:space="preserve">) This note receivable was redeemed on December 10, 2025. </w:t>
      </w:r>
    </w:p>
    <w:p>
      <w:pPr>
        <w:pStyle w:val="TextBody"/>
        <w:bidi w:val="0"/>
        <w:spacing w:lineRule="auto" w:line="288" w:before="0" w:after="0"/>
        <w:jc w:val="left"/>
        <w:rPr/>
      </w:pPr>
      <w:r>
        <w:rPr>
          <w:rFonts w:ascii="Times New Roman;serif" w:hAnsi="Times New Roman;serif"/>
          <w:b w:val="false"/>
          <w:color w:val="000000"/>
          <w:sz w:val="16"/>
        </w:rPr>
        <w:t>(2</w:t>
      </w:r>
      <w:r>
        <w:rPr>
          <w:rFonts w:ascii="Times New Roman;serif" w:hAnsi="Times New Roman;serif"/>
          <w:b w:val="false"/>
          <w:color w:val="000000"/>
          <w:sz w:val="18"/>
        </w:rPr>
        <w:t>) Includes recognition of interest income related to fee amortization.</w:t>
      </w:r>
    </w:p>
    <w:p>
      <w:pPr>
        <w:pStyle w:val="TextBody"/>
        <w:bidi w:val="0"/>
        <w:spacing w:lineRule="auto" w:line="288" w:before="0" w:after="0"/>
        <w:jc w:val="left"/>
        <w:rPr/>
      </w:pPr>
      <w:r>
        <w:rPr>
          <w:rFonts w:ascii="Times New Roman;serif" w:hAnsi="Times New Roman;serif"/>
          <w:b w:val="false"/>
          <w:color w:val="000000"/>
          <w:sz w:val="18"/>
        </w:rPr>
        <w:t>(</w:t>
      </w:r>
      <w:r>
        <w:rPr>
          <w:rFonts w:ascii="Times New Roman;serif" w:hAnsi="Times New Roman;serif"/>
          <w:b w:val="false"/>
          <w:color w:val="000000"/>
          <w:sz w:val="16"/>
        </w:rPr>
        <w:t>3</w:t>
      </w:r>
      <w:r>
        <w:rPr>
          <w:rFonts w:ascii="Times New Roman;serif" w:hAnsi="Times New Roman;serif"/>
          <w:b w:val="false"/>
          <w:color w:val="000000"/>
          <w:sz w:val="18"/>
        </w:rPr>
        <w:t>) Includes recognition of unused commitment fees.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 On March 27, 2026, the Company sold these investments for total proceeds of $63.8 million.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 This note receivable was redeemed on April 30, 2026. Refer to Note 6 for further details.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Allowance for Loan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exposed to credit losses primarily through its real estate financing investment. As of June 30, 2026, the Company had one real estate financing investment, which is secured by a development project in lease-up. The project is subject to a loan that is senior to the Company’s loan. Interest on the loan is paid in kind and is generally not expected to be paid until a sale of the project after completion of the development.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performs a quarterly analysis of the loan portfolio to determine the risk of credit loss based 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progress of development activities, including leasing activities, projected development costs, and current and projected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subordinated and senior loan balances. The Company estimates future losses on its notes receivable using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7"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ratings that correspond to probabilities of default and loss given default. The Company's risk ratings are as follows: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Pass: loans in this category are adequately collateralized by a development project with conditions materially consistent with the Company's underwriting assumptions.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Special Mention: loans in this category show signs that the economic performance of the project may suffer as a result of slower-than-expected leasing activity or an extended development or marketing timeline. Loans in this category warrant increased monitoring by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Substandard: loans in this category may not be fully collected by the Company unless remediation actions are taken. Remediation actions may include obtaining additional collateral or assisting the borrower with asset management activities to prepare the project for sale. The Company will also consider placing the loan on non-accrual status if it does not believe that additional interest accruals will ultimately be collected.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current year, the Company updated the risk ratings for its notes receivables and obtained industry loan loss data relative to these risk ratings. In the first quarter, Solis Kennesaw was classified as held for sale, and, as a result, the Company recorded $37.3 million in impairment due to the stabilization status of the investment. Additionally, Solis North Creek and Solis Peachtree Corners were classified as held for sale in the first quarter, resulting in impairment recorded of $1.0 million and $4.4 million, respectively, and were subsequently sold on March 27, 2026. As of June 30, 2026, the Company re-evaluated the fair value of Solis Kennesaw based on recent market data and recorded an additional $13.5 million in impairment. See Note 6 for further information.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analysis resulted in no allowance for loan losses as of June 30, 2026, as the loan was classified as held for sale.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reported 14.4 million of notes receivable. At December 31, 2025, the Company reported $128.7 million of notes receivable, net of allowances of $1.9 million. Changes in the allowance for the six months ended June 30, 2026 and 2025 were as follows (in thousands):</w:t>
      </w:r>
    </w:p>
    <w:tbl>
      <w:tblPr>
        <w:tblW w:w="10205" w:type="dxa"/>
        <w:jc w:val="center"/>
        <w:tblInd w:w="0" w:type="dxa"/>
        <w:tblLayout w:type="fixed"/>
        <w:tblCellMar>
          <w:top w:w="28" w:type="dxa"/>
          <w:left w:w="28" w:type="dxa"/>
          <w:bottom w:w="28" w:type="dxa"/>
          <w:right w:w="28" w:type="dxa"/>
        </w:tblCellMar>
      </w:tblPr>
      <w:tblGrid>
        <w:gridCol w:w="1035"/>
        <w:gridCol w:w="895"/>
        <w:gridCol w:w="900"/>
        <w:gridCol w:w="109"/>
        <w:gridCol w:w="109"/>
        <w:gridCol w:w="109"/>
        <w:gridCol w:w="211"/>
        <w:gridCol w:w="616"/>
        <w:gridCol w:w="109"/>
        <w:gridCol w:w="109"/>
        <w:gridCol w:w="109"/>
        <w:gridCol w:w="109"/>
        <w:gridCol w:w="235"/>
        <w:gridCol w:w="453"/>
        <w:gridCol w:w="123"/>
        <w:gridCol w:w="109"/>
        <w:gridCol w:w="109"/>
        <w:gridCol w:w="109"/>
        <w:gridCol w:w="211"/>
        <w:gridCol w:w="616"/>
        <w:gridCol w:w="109"/>
        <w:gridCol w:w="109"/>
        <w:gridCol w:w="109"/>
        <w:gridCol w:w="109"/>
        <w:gridCol w:w="211"/>
        <w:gridCol w:w="616"/>
        <w:gridCol w:w="109"/>
        <w:gridCol w:w="109"/>
        <w:gridCol w:w="109"/>
        <w:gridCol w:w="109"/>
        <w:gridCol w:w="217"/>
        <w:gridCol w:w="480"/>
        <w:gridCol w:w="114"/>
        <w:gridCol w:w="109"/>
        <w:gridCol w:w="109"/>
        <w:gridCol w:w="109"/>
        <w:gridCol w:w="211"/>
        <w:gridCol w:w="616"/>
        <w:gridCol w:w="156"/>
      </w:tblGrid>
      <w:tr>
        <w:trPr/>
        <w:tc>
          <w:tcPr>
            <w:tcW w:w="103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Unfunded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Funded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Unfunded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credit loss provision (release)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due to disposition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Reductions due to intent to sell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due to redemption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places loans on non-accrual status when the loan balance, together with the balance of any senior loan, approximately equals the estimated realizable value of the underlying development project. As of June 30, 2026, Solis Kennesaw is on non-accrual status.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Unfunded Loan Commitments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certain commitments related to a notes receivable investment that it may be required to fund in the future. The Company is generally obligated to fund these commitments at the request of the borrower or upon the occurrence of events outside of the Company's direct control. As of June 30, 2026, the Company had one note receivable with a total of $2.0 million of unfunded commitments, all of which relates to unfunded contingencies. The Company considers the probability of contingency funding to be remote. If commitments are funded in the future, interest will be charged at rates consistent with the existing investments. As of June 30, 2026, the Company had no CECL allowance that relates to the unfunded commitments.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8"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left"/>
        <w:rPr>
          <w:rFonts w:ascii="Times New Roman;serif" w:hAnsi="Times New Roman;serif"/>
          <w:b/>
          <w:i/>
          <w:color w:val="000000"/>
          <w:sz w:val="20"/>
        </w:rPr>
      </w:pPr>
      <w:r>
        <w:rPr>
          <w:rFonts w:ascii="Times New Roman;serif" w:hAnsi="Times New Roman;serif"/>
          <w:b/>
          <w:i/>
          <w:color w:val="000000"/>
          <w:sz w:val="20"/>
        </w:rPr>
        <w:t xml:space="preserve">5. Leases </w:t>
      </w:r>
    </w:p>
    <w:p>
      <w:pPr>
        <w:pStyle w:val="TextBody"/>
        <w:bidi w:val="0"/>
        <w:spacing w:before="0" w:after="0"/>
        <w:ind w:left="0" w:right="0" w:firstLine="12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Lessee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lessee, the Company has eight ground leases across eight properties, including participating ground leases. These ground leases have maximum lease terms (including renewal options) that expire between 2047 and 2117. The exercise of lease renewal options is at the Company's sole discretion. The depreciable life of assets and leasehold improvements are limited by the expected lease term. Five of these leases have been classified as operating leases and three of these leases have been classified as finance leases. The Company's lease agreements do not contain any residual value guarantees or material restrictive covenants.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Lessor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lessor, the Company leases its properties under operating leases and recognizes base rents on a straight-line basis over the lease term. The Company also recognizes revenue from tenant recoveries, through which tenants reimburse the Company on an accrual basis for certain expenses such as utilities, janitorial services, repairs and maintenance, security and alarms, parking lot and ground maintenance, administrative services, management fees, insurance, and real estate taxes. Rental revenues are reduced by the amount of any leasing incentives amortized on a straight-line basis over the term of the applicable lease. In addition, the Company recognizes contingent rental revenue (e.g., percentage rents based on tenant sales thresholds) when contractual sales thresholds are met. Many tenant leases include one or more options to renew, with renewal terms that can extend the lease term from one to 25 years, or more. The exercise of lease renewal options is at the tenant's sole discretion. The Company includes a renewal period in the lease term only if it appears at lease inception that the renewal is reasonably assured.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Rental revenue for the three and six months ended June 30, 2026 and 2025 comprised the following (in thousands):</w:t>
      </w:r>
    </w:p>
    <w:tbl>
      <w:tblPr>
        <w:tblW w:w="9522" w:type="dxa"/>
        <w:jc w:val="center"/>
        <w:tblInd w:w="0" w:type="dxa"/>
        <w:tblLayout w:type="fixed"/>
        <w:tblCellMar>
          <w:top w:w="28" w:type="dxa"/>
          <w:left w:w="28" w:type="dxa"/>
          <w:bottom w:w="28" w:type="dxa"/>
          <w:right w:w="28" w:type="dxa"/>
        </w:tblCellMar>
      </w:tblPr>
      <w:tblGrid>
        <w:gridCol w:w="1372"/>
        <w:gridCol w:w="1206"/>
        <w:gridCol w:w="1217"/>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37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rent and tenant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straight-line rental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incentive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(Above) below market lease amortization,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rental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104,865 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i/>
          <w:color w:val="000000"/>
          <w:sz w:val="20"/>
        </w:rPr>
      </w:pPr>
      <w:r>
        <w:rPr>
          <w:rFonts w:ascii="Times New Roman;serif" w:hAnsi="Times New Roman;serif"/>
          <w:b/>
          <w:i/>
          <w:color w:val="000000"/>
          <w:sz w:val="20"/>
        </w:rPr>
        <w:t>6. Real Estate Investments</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29, 2026, the Company completed the sale of undeveloped land under predevelopment to an unrelated third party that was classified as held for sale as of December 31, 2025, for proceeds of $4.8 million, resulting in a net loss on disposition of real estate of $0.2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March 12, 2026, in preparation to sell the asset, the Company acquired a 15% membership interest in the partnership that owns the Chronicle Mill mixed-use property for a purchase price of approximately $2.0 million in cash. Chronicle Mill is a mixed-use structure located in Belmont, North Carolina and is comprised of a 238-unit multifamily property, as well as a retail and office component.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March 27, 2026, the Company signed a purchase and sale agreement with a buyer for the disposition of the Solis North Creek and Solis Peachtree Corners real estate financing investments for a combined purchase price of $63.8 million. Prior to the disposition, the investments were classified as held for sale as a result of the strategic repositioning announced on February 16, 2026, and as a result, the Company recorded impairment of $5.4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reclassified the Solis Kennesaw note receivable to held for sale as a result of the strategic repositioning announced on February 16, 2026 to exit the real estate financing line of business. As a result, the Company recorded impairment of $23.8 million using an approximation of fair value as a level 3 input in the fair value hierarchy.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April 30, 2026, the Company fully realized a total of $17.2 million for the real estate financing investment secured by The Allure at Edinburgh, including $1.0 million of operating net cash flow distributions previously received, and used the proceeds to repay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9"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20, 2026, the Company completed the First Closing of the Multifamily Portfolio Sale for gross proceeds of $485.0 million. As a result of the transaction, the Company funded $6.4 million in escrow amounts pertaining to various real estate tax estimates, prorations, and post-closing adjustments as agreed upon within the purchase and sale agreement. After transaction costs of $8.5 million, the Company recognized a net gain on disposition of $18.8 million, of which a $0.7 million loss relates to the retail and office properties and is presented in loss on real estate dispositions, net, and $19.5 million gain relates to the multifamily properties and is presented in income from discontinued operations on the condensed consolidated statements of comprehensive (loss) income. The following properties were included in this disposition:</w:t>
      </w:r>
    </w:p>
    <w:p>
      <w:pPr>
        <w:pStyle w:val="TextBody"/>
        <w:bidi w:val="0"/>
        <w:spacing w:before="0" w:after="0"/>
        <w:jc w:val="left"/>
        <w:rPr/>
      </w:pPr>
      <w:r>
        <w:rPr/>
      </w:r>
    </w:p>
    <w:tbl>
      <w:tblPr>
        <w:tblW w:w="9456" w:type="dxa"/>
        <w:jc w:val="left"/>
        <w:tblInd w:w="0" w:type="dxa"/>
        <w:tblLayout w:type="fixed"/>
        <w:tblCellMar>
          <w:top w:w="28" w:type="dxa"/>
          <w:left w:w="28" w:type="dxa"/>
          <w:bottom w:w="28" w:type="dxa"/>
          <w:right w:w="28" w:type="dxa"/>
        </w:tblCellMar>
      </w:tblPr>
      <w:tblGrid>
        <w:gridCol w:w="1271"/>
        <w:gridCol w:w="1118"/>
        <w:gridCol w:w="1121"/>
        <w:gridCol w:w="109"/>
        <w:gridCol w:w="109"/>
        <w:gridCol w:w="109"/>
        <w:gridCol w:w="364"/>
        <w:gridCol w:w="364"/>
        <w:gridCol w:w="368"/>
        <w:gridCol w:w="109"/>
        <w:gridCol w:w="109"/>
        <w:gridCol w:w="109"/>
        <w:gridCol w:w="702"/>
        <w:gridCol w:w="702"/>
        <w:gridCol w:w="711"/>
        <w:gridCol w:w="109"/>
        <w:gridCol w:w="109"/>
        <w:gridCol w:w="109"/>
        <w:gridCol w:w="513"/>
        <w:gridCol w:w="513"/>
        <w:gridCol w:w="728"/>
      </w:tblGrid>
      <w:tr>
        <w:trPr/>
        <w:tc>
          <w:tcPr>
            <w:tcW w:w="127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Properties in Continuing Operations</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Ownership Interest</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Allied | Harbor Point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Baltimore,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Chronicle Mill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Belmont, North Carolina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Chronicle Mill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Belmont, North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Liberty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Newport News,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 Street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Baltimore,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Edison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Richmond,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Properties in Discontinued Operations</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Ownership Interest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1305 Dock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Baltimore,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1405 Point Street*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Baltimore, Maryland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Allied | Harbor Point*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Baltimore, Maryland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Chronicle Mill Apartments*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Belmont, North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Chandler Residences*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Roswell, Georgia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Encore Apartments*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Liberty Apartments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Newport News,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Cosmopolitan*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Edison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Richmond,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*Represents a property located within a mixed-use community.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(1) Properties in discontinued operations represent multifamily assets that are not being retained as a result of the strategic repositioning announced on February 16, 2026. Properties in continuing operations are retail or office assets related to the multifamily assets that are being sold in conjunction with those operations.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First Closing, the Company made repayments of $265.5 million of secured debt and $195.0 million on the revolving credit facility. Refer to Note 8 for further information on the secured repayments.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First Closing included the multifamily condominium portion of the Constellation Energy Building, known as 1305 Dock Street Apartments. The Company retained the retail and office portions of the property. In connection with the disposition of 1305 Dock Street Apartments as part of the First Closing, the lender for the loan secured by the mixed-use property required a $53.2 million curtailment of the existing loan to release the collateral. As the required curtailment exceeded the proceeds from the disposition of 1305 Dock Street Apartments, the Company and its 10% partner were required to make capital contributions to fund the shortfall. The partner was unable to fund its portion when due, therefore the Company funded the shortfall for its partner, resulting in a note receivable from the partner of $3.7 million. The amount due will bear interest at a rate equal to the WSJ prime rate plus 3% per annum, compounded annually, and distributions from the Constellation Energy Building office and retail components otherwise payable to the partner are applied first to accrued interest and then principal.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30"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expects to complete the disposition of the remaining assets included in the Multifamily Portfolio Sale as follows: Greenside Apartments by the end of 2026 and Premier Apartments by mid-2027. As a result, the following properties are classified as held for sale as of June 30, 2026:</w:t>
      </w:r>
    </w:p>
    <w:p>
      <w:pPr>
        <w:pStyle w:val="TextBody"/>
        <w:bidi w:val="0"/>
        <w:spacing w:before="0" w:after="0"/>
        <w:jc w:val="left"/>
        <w:rPr/>
      </w:pPr>
      <w:r>
        <w:rPr/>
      </w:r>
    </w:p>
    <w:tbl>
      <w:tblPr>
        <w:tblW w:w="9516" w:type="dxa"/>
        <w:jc w:val="left"/>
        <w:tblInd w:w="0" w:type="dxa"/>
        <w:tblLayout w:type="fixed"/>
        <w:tblCellMar>
          <w:top w:w="28" w:type="dxa"/>
          <w:left w:w="28" w:type="dxa"/>
          <w:bottom w:w="28" w:type="dxa"/>
          <w:right w:w="28" w:type="dxa"/>
        </w:tblCellMar>
      </w:tblPr>
      <w:tblGrid>
        <w:gridCol w:w="1270"/>
        <w:gridCol w:w="1117"/>
        <w:gridCol w:w="1123"/>
        <w:gridCol w:w="109"/>
        <w:gridCol w:w="109"/>
        <w:gridCol w:w="109"/>
        <w:gridCol w:w="364"/>
        <w:gridCol w:w="364"/>
        <w:gridCol w:w="368"/>
        <w:gridCol w:w="109"/>
        <w:gridCol w:w="109"/>
        <w:gridCol w:w="109"/>
        <w:gridCol w:w="722"/>
        <w:gridCol w:w="722"/>
        <w:gridCol w:w="731"/>
        <w:gridCol w:w="109"/>
        <w:gridCol w:w="109"/>
        <w:gridCol w:w="109"/>
        <w:gridCol w:w="513"/>
        <w:gridCol w:w="513"/>
        <w:gridCol w:w="728"/>
      </w:tblGrid>
      <w:tr>
        <w:trPr/>
        <w:tc>
          <w:tcPr>
            <w:tcW w:w="127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Properties in Discontinued Operations</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Ownership Interest</w:t>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Greenside Apartments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Charlotte, North Carolina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Premier Apartments*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Virginia Beach, Virginia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*Represents a property located within a mixed-use community.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Assets classified as properties in discontinued operations in the table above are both subject to a single purchase and sale agreement entered into during the reporting period. Properties in discontinued operations represent multifamily assets that are not being retained as a result of the strategic repositioning announced on February 16, 2026. All of these assets have met the criteria for held for sale classification under ASC 360, as management has committed to a plan to sell, the assets are available for immediate sale in their present condition, and the sale is expected to be completed within one year.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terms of the Multifamily Portfolio Sale, the contractual sales price of Greenside Apartments is $50.0 million. In accordance with applicable guidance for long-lived assets, management evaluated the carrying value of the asset and determined that its estimated fair value less costs to sell was below its carrying amount. As a result, the Company recorded impairment of $8.7 million during the three months ended June 30,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part of the strategic repositioning announced on February 16, 2026, the Company has also been actively marketing the remainder of the multifamily portfolio, and executed a purchase and sale agreement on July 17, 2026. The assets included in this purchase and sale agreement are the following as of June 30, 2026:</w:t>
      </w:r>
    </w:p>
    <w:p>
      <w:pPr>
        <w:pStyle w:val="TextBody"/>
        <w:bidi w:val="0"/>
        <w:spacing w:before="0" w:after="0"/>
        <w:jc w:val="left"/>
        <w:rPr/>
      </w:pPr>
      <w:r>
        <w:rPr/>
      </w:r>
    </w:p>
    <w:tbl>
      <w:tblPr>
        <w:tblW w:w="9112" w:type="dxa"/>
        <w:jc w:val="left"/>
        <w:tblInd w:w="0" w:type="dxa"/>
        <w:tblLayout w:type="fixed"/>
        <w:tblCellMar>
          <w:top w:w="28" w:type="dxa"/>
          <w:left w:w="28" w:type="dxa"/>
          <w:bottom w:w="28" w:type="dxa"/>
          <w:right w:w="28" w:type="dxa"/>
        </w:tblCellMar>
      </w:tblPr>
      <w:tblGrid>
        <w:gridCol w:w="1270"/>
        <w:gridCol w:w="1117"/>
        <w:gridCol w:w="1123"/>
        <w:gridCol w:w="109"/>
        <w:gridCol w:w="109"/>
        <w:gridCol w:w="109"/>
        <w:gridCol w:w="364"/>
        <w:gridCol w:w="364"/>
        <w:gridCol w:w="368"/>
        <w:gridCol w:w="109"/>
        <w:gridCol w:w="109"/>
        <w:gridCol w:w="109"/>
        <w:gridCol w:w="588"/>
        <w:gridCol w:w="588"/>
        <w:gridCol w:w="594"/>
        <w:gridCol w:w="109"/>
        <w:gridCol w:w="109"/>
        <w:gridCol w:w="109"/>
        <w:gridCol w:w="357"/>
        <w:gridCol w:w="357"/>
        <w:gridCol w:w="1041"/>
      </w:tblGrid>
      <w:tr>
        <w:trPr/>
        <w:tc>
          <w:tcPr>
            <w:tcW w:w="1270"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Properties in Discontinued Operations</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Ownership Interest</w:t>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Everly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Gainesville, Georgia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Solis Gainesville II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Gainesville, Georgia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Properties in discontinued operations represent multifamily assets that are not being retained as a result of the strategic repositioning announced on February 16, 2026. All of these assets have met the criteria for held for sale classification under ASC 360, as management has committed to a plan to sell, the assets are available for immediate sale in their present condition, and the sale is expected to be completed within one year.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terms of the purchase and sale agreement for these two assets, the contractual sale price of the two assets combined is $95.5 million. In accordance with applicable guidance for long-lived assets, management evaluated the carrying value of the assets and determined that their estimated fair value less costs to sell were below their carrying amounts. As a result, the Company recorded impairment of $12.2 million during the three months ended June 30,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re-evaluated the fair value of the Solis Kennesaw note receivable based on recent market data. As a result, the Company recorded impairment of $13.5 million using an approximation of fair value as a level 3 input in the fair value hierarchy.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management determined that certain prospective development projects no longer met the Company's investment and strategic criteria and ceased pursuit of these opportunities. As a result, the Company recorded an impairment charge of $1.8 million to write off capitalized predevelopment, planning, and pursuit costs associated with these projects.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i/>
          <w:color w:val="000000"/>
          <w:sz w:val="20"/>
        </w:rPr>
      </w:pPr>
      <w:r>
        <w:rPr>
          <w:rFonts w:ascii="Times New Roman;serif" w:hAnsi="Times New Roman;serif"/>
          <w:b/>
          <w:i/>
          <w:color w:val="000000"/>
          <w:sz w:val="20"/>
        </w:rPr>
        <w:t>7. Equity Method 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Harbor Point Parcel 3</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owns a 50% interest in Harbor Point Parcel 3, a joint venture with Beatty Development Group, for purposes of developing T. Rowe Price's new global headquarters office building in Baltimore, Maryland. The Company is a noncontrolling partner in the joint venture and served as the project's general contractor. During the three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31"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June 30, 2026, the Company invested $10.6 million in Harbor Point Parcel 3, and received distributions of $0.6 million. As of June 30, 2026, the Company has invested a total of $60.8 million.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 2026, the Company funded a shortfall related to Harbor Point Parcel 3. The Company and its joint venture partner were required to contribute a total of $10.6 million. The joint venture partner was unable to fund its portion when due, and the Company funded both its own and the partner’s required contributions. As a result, the joint venture partner owes the Company $5.3 million plus accrued interest. The amount due will bear interest at a rate equal to the WSJ prime rate plus 3% per annum, compounded annually, matures in three years, and distributions from Harbor Point Parcel 3 otherwise payable to the partner are applied first to accrued interest and then principal. The Company evaluated whether the arrangement altered the governance, decision-making authority, or allocation of economic interests within the joint venture, and determined that it does not change the existing conclusion that the Company is not the primary beneficiary of the venture.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Based on the terms of the operating agreement, the Company has concluded that Harbor Point Parcel 3 is a VIE and that the Company holds a variable interest. The Company has significant influence over the project due to its 50% ownership interest; however, the Company does not have the power to direct the activities of the project that most significantly impact its performance. This includes activity as the managing member of the entity, which is a power that is retained by the Company's joint venture partner. Accordingly, the Company is not the project's primary beneficiary and, therefore, does not consolidate Harbor Point Parcel 3 in its consolidated financial statements. The Company's investment in the project is recorded as an equity method investment in the condensed consolidated balance sheets.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i/>
          <w:color w:val="000000"/>
          <w:sz w:val="20"/>
        </w:rPr>
      </w:pPr>
      <w:r>
        <w:rPr>
          <w:rFonts w:ascii="Times New Roman;serif" w:hAnsi="Times New Roman;serif"/>
          <w:b/>
          <w:i/>
          <w:color w:val="000000"/>
          <w:sz w:val="20"/>
        </w:rPr>
        <w:t xml:space="preserve">8. Indebtedness </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23, 2022, the Company, as parent guarantor, and the Operating Partnership, as borrower, entered into an amended and restated credit agreement (the "Credit Agreement"), which provides for a $550.0 million credit facility comprised of a $250.0 million senior unsecured revolving credit facility (the "revolving credit facility") and a $300.0 million senior unsecured term loan facility (the "term loan facility" and, together with the revolving credit facility, the "credit facility"), with a syndicate of banks.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credit facility includes an accordion feature that allows the total commitments to be increased to $1.0 billion, subject to certain conditions, including obtaining commitments from any one or more lenders. The revolving credit facility has a scheduled maturity date of January 22, 2027, with two six-month extension options, subject to the Company's satisfaction of certain conditions, including payment of a 0.075% extension fee at each extension. The term loan facility has a scheduled maturity date of January 21, 2028.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29, 2023, the Company increased the capacity of the revolving credit facility by $105.0 million by exercising the accordion feature in part, bringing the revolving credit facility capacity to $355.0 million and the total credit facility capacity to $655.0 million.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June 14, 2024, the term loan facility commitment increased by $50.0 million to $350.0 million as a result of an existing lender increasing its outstanding commitment.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revolving credit facility bears interest at the Secured Overnight Financing Rate ("SOFR") plus a margin ranging from 1.30% to 1.85% and a credit spread adjustment of 0.10%, and the term loan facility bears interest at SOFR plus a margin ranging from 1.25% to 1.80% and a credit spread adjustment of 0.10%, in each case depending on the Company's total leverage. The Company is also obligated to pay an unused commitment fee of 15 or 25 basis points on the unused portions of the commitments under the revolving credit facility, depending on the amount of borrowings under the revolving credit facility. If the Company or the Operating Partnership attains investment grade credit ratings from both S&amp;P Global Ratings and Moody's Investors Service, Inc., the Operating Partnership may elect to have borrowings become subject to interest rates based on such credit ratings.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the outstanding balance on the revolving credit facility was $21.0 million and $241.0 million, respectively. The outstanding balance on the term loan facility was $350.0 million as of June 30, 2026 and December 31, 2025. As of June 30, 2026, the effective interest rates on the revolving credit facility and the term loan facility, before giving effect to interest rate swaps, were 5.25% and 5.20%, respectively. After giving effect to interest rate swaps, the effective interest rates on the revolving credit facility and the term loan facility were 3.89% and 4.17%, respectively, as of June 30, 2026. The Operating Partnership may, at any time, voluntarily prepay any loan under the credit facility in whole or in part without premium or penalty.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32"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Operating Partnership is the borrower, and its obligations under the credit facility are guaranteed by the Company and certain of its subsidiaries that are not otherwise prohibited from providing such guaranty. The Credit Agreement contains customary representations and warranties and financial and other affirmative and negative covenants. The Company's ability to borrow under the credit facility is subject to ongoing compliance with a number of financial covenants, affirmative covenants, and other restrictions. The Credit Agreement includes customary events of default, in certain cases subject to customary cure periods. The occurrence of an event of default, if not cured within the applicable cure period, would permit the lenders to, among other things, declare the unpaid principal, accrued and unpaid interest, and all other amounts payable under the credit facility to be immediately due and payable.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M&amp;T Term Loan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6, 2022, the Company, as parent guarantor, and the Operating Partnership, as borrower, entered into a term loan agreement (the "M&amp;T term loan agreement") with Manufacturers and Traders Trust Company, as lender and administrative agent, which provides a $100.0 million senior unsecured term loan facility (the "M&amp;T term loan facility"), with the option to increase the total capacity to $200.0 million, subject to the Company's satisfaction of certain conditions. The proceeds from the M&amp;T term loan facility were used to repay the loans secured by the Wills Wharf, 249 Central Park Retail, Fountain Plaza Retail, and South Retail properties. The M&amp;T term loan facility has a scheduled maturity date of March 8, 2027, with a one-year extension option, subject to the Company's satisfaction of certain conditions, including payment of a 0.075% extension fee.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M&amp;T term loan facility bears interest at a rate elected by the Operating Partnership based on term SOFR, Daily Simple SOFR, or the Base Rate (as defined below), and in each case plus a margin. A term SOFR or Daily Simple SOFR loan is also subject to a credit spread adjustment of 0.10%. The margin under each interest rate election depends on the Company's total leverage. The "Base Rate" is equal to the highest of: (a) the rate of interest in effect for such day as publicly announced from time to time by M&amp;T Bank as its “prime rate” for such day, (b) the Federal Funds Rate for such day, plus 0.50%, (c) one month term SOFR for such day plus 100 basis points and (d) 1.00%. The Operating Partnership has elected for the loan to bear interest at term SOFR plus margin. If the Company or the Operating Partnership attains investment grade credit ratings from both S&amp;P Global Ratings and Moody's Investor Service, Inc., the Operating Partnership may elect to have borrowings become subject to interest rates based on such credit ratings.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June 21, 2024, the M&amp;T term loan facility commitment increased by $35.0 million to $135.0 million as a result of adding a new lender to the facility.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each of June 30, 2026 and December 31, 2025, the outstanding balance on the M&amp;T term loan facility was $135.0 million. As of June 30, 2026, the effective interest rate on the M&amp;T term loan facility, before giving effect to interest rate swaps, was 5.20%. After giving effect to interest rate swaps, the effective interest rate on the M&amp;T term loan facility was 4.74% as of June 30, 2026. The Operating Partnership may, at any time, voluntarily prepay the M&amp;T term loan facility in whole or in part without premium or penalty, provided certain conditions are met.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Operating Partnership is the borrower under the M&amp;T term loan facility, and its obligations under the M&amp;T term loan facility are guaranteed by the Company and certain of its subsidiaries that are not otherwise prohibited from providing such guaranty. The M&amp;T term loan agreement contains customary representations and warranties and financial and other affirmative and negative covenants. The Company's ability to borrow under the M&amp;T term loan facility is subject to ongoing compliance with a number of financial covenants, affirmative covenants, and other restrictions. The term loan agreement includes customary events of default, in certain cases subject to customary cure periods. The occurrence of an event of default, if not cured within the applicable cure period, would permit the lenders to, among other things, declare the unpaid principal, accrued and unpaid interest, and all other amounts payable under the M&amp;T term loan facility to be immediately due and payable.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33"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TD Term Loan Facility</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May 19, 2023, the Company, as parent guarantor, and the Operating Partnership, as borrower, entered into a term loan agreement (the "TD term loan agreement") with Toronto Dominion (Texas) LLC, as administrative agent, and TD Bank, N.A. as lender, which provides a $75.0 million senior unsecured term loan facility (the "TD term loan facility"), with the option to increase the total capacity to $150.0 million, subject to the Company's satisfaction of certain conditions.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June 26, 2025, the Company exercised its option to extend the maturity date on the TD term loan facility by one year to May 19, 2026. The Company paid a nominal extension fee.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May 14, 2026, the Company executed a 12-month extension on the TD term loan, extending the loan maturity to May 19, 2027. The Company paid a nominal extension fee.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TD term loan facility bears interest at a rate elected by the Operating Partnership based on term SOFR, Daily Simple SOFR, or the Base Rate (as defined below), and in each case plus a margin. A term SOFR or Daily Simple SOFR loan is also subject to a credit spread adjustment of 0.10%. The margin under each interest rate election depends on the Company's total leverage. The "Base Rate" is equal to the highest of: (a) the Federal Funds Rate for such day, plus 0.50%, (b) the rate of interest in effect for such day as publicly announced from time to time by the administrative agent as its “prime rate” for such day, (c) one month term SOFR for such day plus 100 basis points, and (d) 1.00%. The Operating Partnership has elected for the loan to bear interest at term SOFR plus margin. If the Company or the Operating Partnership attains investment grade credit ratings from both S&amp;P Global Ratings and Moody's Investor Service, Inc., the Operating Partnership may elect to have borrowings become subject to interest rates based on such credit ratings.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June 29, 2023, the TD term loan facility commitment increased to $95.0 million as a result of the addition of a second lender to the facility.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each of June 30, 2026 and December 31, 2025, the outstanding balance on the TD term loan facility was $95.0 million. As of June 30, 2026, the effective interest rate on the TD term loan facility was 5.30%. The Operating Partnership may, at any time, voluntarily prepay the TD term loan facility in whole or in part without premium or penalty, provided certain conditions are met.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Operating Partnership is the borrower under the TD term loan facility, and its obligations under the TD term loan facility are guaranteed by the Company and certain of its subsidiaries that are not otherwise prohibited from providing such guaranty. The TD term loan agreement contains customary representations and warranties and financial and other affirmative and negative covenants. The Company's ability to borrow under the TD term loan facility is subject to ongoing compliance with a number of financial covenants, affirmative covenants, and other restrictions. The TD term loan agreement includes customary events of default, in certain cases subject to customary cure periods. The occurrence of an event of default, if not cured within the applicable cure period, would permit the lenders to, among other things, declare the unpaid principal, accrued and unpaid interest, and all other amounts payable under the TD term loan facility to be immediately due and payable.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Private Placement Notes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July 22, 2025, the Company, as parent guarantor, and the Operating Partnership, as borrower, entered into a note purchase agreement (the “Note Purchase Agreement”) with institutional investors, pursuant to which the Operating Partnership sold, and the institutional investors purchased, $115.0 million aggregate principal amount of unsecured notes, consisting of (a) $25.0 million aggregate principal amount of 5.57% Senior Notes, Series A, due July 22, 2028, (b) $45.0 million aggregate principal amount of 5.78% Senior Notes, Series B, due July 22, 2030, and (c) $45.0 million aggregate principal amount of 6.09% Senior Notes, Series C, due July 22, 2032 (collectively, the “Notes”).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outstanding balance of the Notes was $115.0 million.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Notes bear interest on the outstanding principal balance at the stated rates per annum from the date of issuance, payable semiannually on January 22 and July 22 of each year, commencing January 22, 2026 until such principal becomes due and payable. The Notes are the senior unsecured obligations of the Operating Partnership and rank at least pari passu in right of payment with all other unsecured senior indebtedness of the Operating Partnership. The Operating Partnership’s obligations under the Notes are guaranteed by the Company and certain of its subsidiaries that are not otherwise prohibited from providing such guaranty.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4"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Operating Partnership may, at any time, voluntarily prepay all of, or from time to time any part of, any series of the Notes in an amount not less than 5% of the aggregate principal amount of such series of the Notes then outstanding in the case of a partial prepayment, at 100% of the principal amount so prepaid, plus the applicable Make</w:t>
        <w:noBreakHyphen/>
        <w:t>Whole Amount (as defined in the Note Purchase Agreement), which will be calculated based on the prepayment date with respect to such principal amount, as set forth in the Note Purchase Agreement.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Note Purchase Agreement contains customary representations, warranties, and other affirmative and negative covenants, which apply to the Company while the Notes are outstanding. In addition, the Note Purchase Agreement contains a number of financial covenants applicable to the Company while the Notes are outstanding, which are substantially similar to those contained in the Credit Agreement, including but not limited to (a) a maximum leverage ratio, (b) a minimum fixed charge coverage ratio, (c) a minimum unencumbered interest coverage ratio, (d) a minimum unencumbered asset value and number of unencumbered properties and (e) limitations on occupancy rate and tenant concentration of unencumbered properties. The Note Purchase Agreement includes customary events of default, including but not limited to non-payment, breach of covenants, representations or warranties, cross defaults, bankruptcy or other insolvency events, judgments, Employee Retirement Income Security Act 1974 (ERISA) events, and if any guarantee ceases to be in full force and effect. In certain cases, the events of default are subject to customary cure periods. The occurrence of an event of default, if not cured within the applicable cure period, would permit holders of more than 50% in aggregate principal amount of the Notes to, among other things, declare the unpaid principal, accrued and unpaid interest, and all other amounts payable under the Notes to be immediately due and payable.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currently in compliance with all covenants under the Credit Agreement, the M&amp;T term loan agreement, the TD term loan agreement, and the Note Purchase Agreement, all of which are substantially similar.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2026 Financing Activity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2, 2026, the Company executed its one-year extension option on the loan secured by The Everly, which will now mature on March 17, 2027. The Company paid a nominal extension fee, and a $2.0 million curtailment. The Company also holds an additional one-year extension option that may extend the maturity date to March 19, 2028, subject to the Company's satisfaction of certain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February 13, 2026, the Company executed a 60-day extension for the loan secured by Encore Apartments and 4525 Main Street, extending the loan maturity to April 10,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Effective April 10, 2026, the Company executed a 45-day extension for the loan secured by Encore Apartments and 4525 Main St, extending the loan maturity to May 25,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20, 2026, in connection with the First Closing, the Company repaid $265.5 million in secured debt, including the loans secured by Encore Apartments &amp; 4525 Main Street, The Allied | Harbor Point, Liberty, The Edison, and The Cosmopolitan, as well as a $53.2 million curtailment on the loan secured by the Constellation Energy Building. The curtailment on the loan secured by the Constellation Energy Building was made in connection with the release of 1305 Dock Street Apartments from the lender's collateral. The Company retained the retail and office portions of the mixed-use property, and the remaining mortgage continues to be secured by the retained collateral. In connection with the repayments described above, the Company recognized a loss on extinguishment of debt of $2.7 million, including $1.3 million in prepayment penalties. Of the total loss on extinguishment of debt for the period, $2.1 million is presented in loss from discontinued operations. The results of discontinued operations are presented in Note 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2, 2026, the Company refinanced the loan secured by Thames Street Wharf, which will now mature on September 30, 2031. The Company paid $0.7 million in closing fees, and a $1.3 million re-advance was added to the loan balance. Effective October 1, 2026, the SOFR margin will increase from 1.30% to 1.80% per the refinancing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i/>
          <w:color w:val="000000"/>
          <w:sz w:val="20"/>
        </w:rPr>
      </w:pPr>
      <w:r>
        <w:rPr>
          <w:rFonts w:ascii="Times New Roman;serif" w:hAnsi="Times New Roman;serif"/>
          <w:b/>
          <w:i/>
          <w:color w:val="000000"/>
          <w:sz w:val="20"/>
        </w:rPr>
        <w:t xml:space="preserve">9. Derivative Financial Instruments </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interest rate derivative contracts to manage exposure to interest rate risks. The Company does not use derivative financial instruments for trading or speculative purposes. Derivative financial instruments are recognized at fair value and presented within other assets and other liabilities in the condensed consolidated balance sheets. Gains and losses resulting from changes in the fair value of derivatives that are neither designated nor qualify as hedging instruments are recognized within the change in fair value of derivatives and other in the condensed consolidated statements of comprehensive (loss) income. For derivatives that qualify as cash flow hedges, the gain or loss is reported as a component of other comprehensive income (loss) and reclassified into earnings in the periods during which the hedged forecasted transaction affects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held the following floating-to-fixed interest rate swaps ($ in thousands):</w:t>
      </w:r>
    </w:p>
    <w:tbl>
      <w:tblPr>
        <w:tblW w:w="10205" w:type="dxa"/>
        <w:jc w:val="left"/>
        <w:tblInd w:w="0" w:type="dxa"/>
        <w:tblLayout w:type="fixed"/>
        <w:tblCellMar>
          <w:top w:w="28" w:type="dxa"/>
          <w:left w:w="28" w:type="dxa"/>
          <w:bottom w:w="28" w:type="dxa"/>
          <w:right w:w="28" w:type="dxa"/>
        </w:tblCellMar>
      </w:tblPr>
      <w:tblGrid>
        <w:gridCol w:w="878"/>
        <w:gridCol w:w="582"/>
        <w:gridCol w:w="584"/>
        <w:gridCol w:w="109"/>
        <w:gridCol w:w="109"/>
        <w:gridCol w:w="109"/>
        <w:gridCol w:w="208"/>
        <w:gridCol w:w="927"/>
        <w:gridCol w:w="115"/>
        <w:gridCol w:w="109"/>
        <w:gridCol w:w="109"/>
        <w:gridCol w:w="109"/>
        <w:gridCol w:w="274"/>
        <w:gridCol w:w="274"/>
        <w:gridCol w:w="280"/>
        <w:gridCol w:w="109"/>
        <w:gridCol w:w="109"/>
        <w:gridCol w:w="109"/>
        <w:gridCol w:w="305"/>
        <w:gridCol w:w="219"/>
        <w:gridCol w:w="457"/>
        <w:gridCol w:w="109"/>
        <w:gridCol w:w="109"/>
        <w:gridCol w:w="109"/>
        <w:gridCol w:w="316"/>
        <w:gridCol w:w="243"/>
        <w:gridCol w:w="577"/>
        <w:gridCol w:w="109"/>
        <w:gridCol w:w="109"/>
        <w:gridCol w:w="109"/>
        <w:gridCol w:w="302"/>
        <w:gridCol w:w="302"/>
        <w:gridCol w:w="303"/>
        <w:gridCol w:w="109"/>
        <w:gridCol w:w="109"/>
        <w:gridCol w:w="109"/>
        <w:gridCol w:w="317"/>
        <w:gridCol w:w="317"/>
        <w:gridCol w:w="463"/>
      </w:tblGrid>
      <w:tr>
        <w:trPr/>
        <w:tc>
          <w:tcPr>
            <w:tcW w:w="87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Related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Swap 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Debt Effective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 Date</w:t>
            </w:r>
          </w:p>
        </w:tc>
      </w:tr>
      <w:tr>
        <w:trPr/>
        <w:tc>
          <w:tcPr>
            <w:tcW w:w="2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Floating Rate Pool of Loans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(1)</w:t>
            </w:r>
          </w:p>
        </w:tc>
        <w:tc>
          <w:tcPr>
            <w:tcW w:w="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SOFR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8/1/2026</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Floating Rate Pool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(1)</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8/1/2026</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Harbor Point Parcel 3 Senior Construction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(2)</w:t>
            </w:r>
          </w:p>
        </w:tc>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8/1/2026</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Floating Rate Pool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(2)</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8/1/2026</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Thames Street Wharf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(3)</w:t>
            </w:r>
          </w:p>
        </w:tc>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Daily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9/30/2026</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Floating Rate Pool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(4)</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1/1/2027</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M&amp;T Unsecured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(3)</w:t>
            </w:r>
          </w:p>
        </w:tc>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12/6/2027</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Senior Unsecured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(5)</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1/21/2028</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Effective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1,231,482 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2"/>
        <w:gridCol w:w="493"/>
        <w:gridCol w:w="495"/>
        <w:gridCol w:w="109"/>
        <w:gridCol w:w="109"/>
        <w:gridCol w:w="109"/>
        <w:gridCol w:w="251"/>
        <w:gridCol w:w="828"/>
        <w:gridCol w:w="139"/>
        <w:gridCol w:w="125"/>
        <w:gridCol w:w="125"/>
        <w:gridCol w:w="125"/>
        <w:gridCol w:w="281"/>
        <w:gridCol w:w="281"/>
        <w:gridCol w:w="288"/>
        <w:gridCol w:w="109"/>
        <w:gridCol w:w="109"/>
        <w:gridCol w:w="109"/>
        <w:gridCol w:w="305"/>
        <w:gridCol w:w="254"/>
        <w:gridCol w:w="567"/>
        <w:gridCol w:w="109"/>
        <w:gridCol w:w="109"/>
        <w:gridCol w:w="109"/>
        <w:gridCol w:w="418"/>
        <w:gridCol w:w="418"/>
        <w:gridCol w:w="419"/>
        <w:gridCol w:w="109"/>
        <w:gridCol w:w="109"/>
        <w:gridCol w:w="109"/>
        <w:gridCol w:w="333"/>
        <w:gridCol w:w="333"/>
        <w:gridCol w:w="335"/>
        <w:gridCol w:w="109"/>
        <w:gridCol w:w="109"/>
        <w:gridCol w:w="109"/>
        <w:gridCol w:w="345"/>
        <w:gridCol w:w="345"/>
        <w:gridCol w:w="505"/>
      </w:tblGrid>
      <w:tr>
        <w:trPr/>
        <w:tc>
          <w:tcPr>
            <w:tcW w:w="56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Related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Swap 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Debt Effective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 Date</w:t>
            </w:r>
          </w:p>
        </w:tc>
      </w:tr>
      <w:tr>
        <w:trPr/>
        <w:tc>
          <w:tcPr>
            <w:tcW w:w="1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Thames Street Wharf Loan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65,103 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(3)(6)</w:t>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Daily SOFR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9/30/2031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The Company paid $5.5 million to reduce the swap fixed rate on July 28, 2025.</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The Company paid $1.5 million to reduce the swap fixed rate on July 28, 2025.</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 Designated as a cash flow hedge.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 The Company paid $4.6 million to reduce the swap fixed rate on January 3, 2025.</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 The Company novated an existing 3.43% fixed rate swap with a $100.0 million notional and assigned (A) $11.1 million notional to the loan secured by Market at Mill Creek, effective April 17, 2024 and (B) $21.0 million to the loan secured by Liberty Retail &amp; Apartments, effective February 1, 2024. Once the Market at Mill Creek loan was repaid on September 27, 2024, the $67.9 million swap on the senior unsecured loan increased to $79.0 million. Once the Liberty Retail &amp; Apartments loan was repaid on May 20, 2026, the $79.0 million swap on the senior unsecured loan increased to $100.0 million.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 The Company entered into a swap on May 28, 2026 with an effective date of September 30, 2026. This swap will replace the existing swap assigned to the loan secured by Thames Street Wharf at the effective date of the loan's extension.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interest rate swaps and caps designated as cash flow hedges, realized gains and losses are reclassified out of accumulated other comprehensive income to interest expense in the condensed consolidated statements of comprehensive (loss) income due to payments received from and paid to the counterparty. During the next 12 months, the Company anticipates recognizing approximately $0.8 million of net hedging gains as reductions to interest expense. These amounts will be reclassified from accumulated other comprehensive income into earnings to offset the variability of the hedged items during this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derivatives were comprised of the following as of June 30, 2026 and December 31, 2025 (in thousands): </w:t>
      </w:r>
    </w:p>
    <w:tbl>
      <w:tblPr>
        <w:tblW w:w="10205" w:type="dxa"/>
        <w:jc w:val="left"/>
        <w:tblInd w:w="0" w:type="dxa"/>
        <w:tblLayout w:type="fixed"/>
        <w:tblCellMar>
          <w:top w:w="28" w:type="dxa"/>
          <w:left w:w="28" w:type="dxa"/>
          <w:bottom w:w="28" w:type="dxa"/>
          <w:right w:w="28" w:type="dxa"/>
        </w:tblCellMar>
      </w:tblPr>
      <w:tblGrid>
        <w:gridCol w:w="787"/>
        <w:gridCol w:w="692"/>
        <w:gridCol w:w="694"/>
        <w:gridCol w:w="109"/>
        <w:gridCol w:w="109"/>
        <w:gridCol w:w="109"/>
        <w:gridCol w:w="211"/>
        <w:gridCol w:w="976"/>
        <w:gridCol w:w="109"/>
        <w:gridCol w:w="109"/>
        <w:gridCol w:w="109"/>
        <w:gridCol w:w="109"/>
        <w:gridCol w:w="211"/>
        <w:gridCol w:w="616"/>
        <w:gridCol w:w="109"/>
        <w:gridCol w:w="109"/>
        <w:gridCol w:w="109"/>
        <w:gridCol w:w="109"/>
        <w:gridCol w:w="211"/>
        <w:gridCol w:w="416"/>
        <w:gridCol w:w="109"/>
        <w:gridCol w:w="109"/>
        <w:gridCol w:w="109"/>
        <w:gridCol w:w="109"/>
        <w:gridCol w:w="211"/>
        <w:gridCol w:w="976"/>
        <w:gridCol w:w="109"/>
        <w:gridCol w:w="109"/>
        <w:gridCol w:w="109"/>
        <w:gridCol w:w="109"/>
        <w:gridCol w:w="211"/>
        <w:gridCol w:w="616"/>
        <w:gridCol w:w="109"/>
        <w:gridCol w:w="109"/>
        <w:gridCol w:w="109"/>
        <w:gridCol w:w="109"/>
        <w:gridCol w:w="211"/>
        <w:gridCol w:w="502"/>
        <w:gridCol w:w="157"/>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Liability</w:t>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accounting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Derivatives designated as accounting hedges</w:t>
            </w:r>
            <w:r>
              <w:rPr>
                <w:rFonts w:ascii="Times New Roman;serif" w:hAnsi="Times New Roman;serif"/>
                <w:b/>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r>
      <w:tr>
        <w:trPr/>
        <w:tc>
          <w:tcPr>
            <w:tcW w:w="2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8"/>
        </w:rPr>
        <w:t xml:space="preserve">(1) Includes the </w:t>
      </w:r>
      <w:r>
        <w:rPr>
          <w:rFonts w:ascii="Times New Roman;serif" w:hAnsi="Times New Roman;serif"/>
          <w:b w:val="false"/>
          <w:color w:val="000000"/>
          <w:sz w:val="20"/>
        </w:rPr>
        <w:t>$65.1 million</w:t>
      </w:r>
      <w:r>
        <w:rPr>
          <w:color w:val="000000"/>
        </w:rPr>
        <w:t xml:space="preserve"> </w:t>
      </w:r>
      <w:r>
        <w:rPr>
          <w:rFonts w:ascii="Times New Roman;serif" w:hAnsi="Times New Roman;serif"/>
          <w:b w:val="false"/>
          <w:color w:val="000000"/>
          <w:sz w:val="18"/>
        </w:rPr>
        <w:t>swap entered into on May 28, 2026 in connection with the refinancing of the loan secured by Thames Street Wharf, with an effective date of September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unrealized changes in the fair value of the Company’s derivatives during the three and six months ended June 30, 2026 and 2025 were comprised of the following (in thousands): </w:t>
      </w:r>
    </w:p>
    <w:tbl>
      <w:tblPr>
        <w:tblW w:w="10205" w:type="dxa"/>
        <w:jc w:val="left"/>
        <w:tblInd w:w="0" w:type="dxa"/>
        <w:tblLayout w:type="fixed"/>
        <w:tblCellMar>
          <w:top w:w="28" w:type="dxa"/>
          <w:left w:w="28" w:type="dxa"/>
          <w:bottom w:w="28" w:type="dxa"/>
          <w:right w:w="28" w:type="dxa"/>
        </w:tblCellMar>
      </w:tblPr>
      <w:tblGrid>
        <w:gridCol w:w="1771"/>
        <w:gridCol w:w="1475"/>
        <w:gridCol w:w="1488"/>
        <w:gridCol w:w="109"/>
        <w:gridCol w:w="109"/>
        <w:gridCol w:w="109"/>
        <w:gridCol w:w="211"/>
        <w:gridCol w:w="682"/>
        <w:gridCol w:w="109"/>
        <w:gridCol w:w="109"/>
        <w:gridCol w:w="109"/>
        <w:gridCol w:w="109"/>
        <w:gridCol w:w="211"/>
        <w:gridCol w:w="682"/>
        <w:gridCol w:w="109"/>
        <w:gridCol w:w="109"/>
        <w:gridCol w:w="109"/>
        <w:gridCol w:w="109"/>
        <w:gridCol w:w="211"/>
        <w:gridCol w:w="682"/>
        <w:gridCol w:w="109"/>
        <w:gridCol w:w="109"/>
        <w:gridCol w:w="109"/>
        <w:gridCol w:w="109"/>
        <w:gridCol w:w="211"/>
        <w:gridCol w:w="787"/>
        <w:gridCol w:w="159"/>
      </w:tblGrid>
      <w:tr>
        <w:trPr/>
        <w:tc>
          <w:tcPr>
            <w:tcW w:w="1771"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unrealized change in fair value of 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(10,888)</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gain income statement presentation: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cash flow hedge gains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unrealized change in fair value of 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(10,888)</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10.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Stockholders’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March 10, 2020, the Company commenced an at-the-market continuous equity offering program (the "ATM Program") through which the Company may, from time to time, issue and sell shares of its common stock and shares of its 6.75% Series A Cumulative Redeemable Perpetual Preferred Stock (the "Series A Preferred Stock") having an aggregate offering price of up to $300.0 million, to or through its sales agents and, with respect to shares of its common stock, may enter into separate forward sales agreements to or through the forward purchaser. The Company's ATM Program does not have an expiration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did not issue any shares of common stock or Series A Preferred Stock under the ATM Program. Shares having an aggregate offering price of $178.5 million remained unsold under the ATM Program as of July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January 2, 2026, the Company elected to satisfy a redemption request by a holder of 20,000 Common OP Units through the issuance of an equal number of shares of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Noncontrolling Interests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held a 75.0% and 78.5%, respectively, economic interest in the Operating Partnership. As of June 30, 2026, the Company also held a preferred interest in the Operating Partnership in the form of preferred units with a liquidation preference of $171.1 million. The Company is the primary beneficiary of the Operating Partnership as it has the power to direct the activities of the Operating Partnership and the rights to absorb 75.0% of the net income of the Operating Partnership. As the primary beneficiary, the Company consolidates the financial position and results of operations of the Operating Partnership. Noncontrolling interests in the Operating Partnership represent units of limited partnership interest in the Operating Partnership not held by the Company. As of June 30, 2026, there were 21,316,211 Common OP Units and 3,522,853 LTIP Units (as defined below) not held by the Company. The Company's financial position and results of operations are the same as those of the Operating Partnership. See Note 11 for a description of LTIP Units.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the Operating Partnership owns a majority interest in certain non-wholly owned operating and development properties. The noncontrolling interest in investment entities was $12.1 million and $8.5 million as of June 30, 2026 and December 31, 2025, respectively, which represents the minority partners' interest in certain consolidated real estate entities.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15, 2023, the Company adopted a $50.0 million share repurchase program (the "Share Repurchase Program"). On May 8, 2026, the Company increased the authorized capacity of the Share Repurchase Program by $50.0 million, bringing the total authorized share repurchase capacity to $100.0 million. Under the Share Repurchase Program, the Company may repurchase shares of common stock and Series A Preferred Stock from time to time in the open market, in block purchases, through privately negotiated transactions, the use of trading plans intended to qualify under Rule 10b5-1 under the Securities Exchange Act of 1934, as amended, or other means. The Share Repurchase Program does not obligate the Company to acquire any specific number of shares or acquire shares over any specific period of time. The Share Repurchase Program may be suspended or discontinued at any time by the Company and does not have an expiration date.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7"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repurchased 5.6 million shares of common stock for a total of $33.2 million, at a weighted average price of $5.92. During the six months ended June 30, 2026, the Company did not purchase any shares of Series A Preferred Stock. As of June 30, 2026, $54.1 million remained available for repurchases under the Share Repurchase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Dividends and Distributions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following dividends/distributions were declared or paid:</w:t>
      </w:r>
    </w:p>
    <w:tbl>
      <w:tblPr>
        <w:tblW w:w="10205" w:type="dxa"/>
        <w:jc w:val="center"/>
        <w:tblInd w:w="0" w:type="dxa"/>
        <w:tblLayout w:type="fixed"/>
        <w:tblCellMar>
          <w:top w:w="28" w:type="dxa"/>
          <w:left w:w="28" w:type="dxa"/>
          <w:bottom w:w="28" w:type="dxa"/>
          <w:right w:w="28" w:type="dxa"/>
        </w:tblCellMar>
      </w:tblPr>
      <w:tblGrid>
        <w:gridCol w:w="570"/>
        <w:gridCol w:w="467"/>
        <w:gridCol w:w="443"/>
        <w:gridCol w:w="109"/>
        <w:gridCol w:w="109"/>
        <w:gridCol w:w="109"/>
        <w:gridCol w:w="376"/>
        <w:gridCol w:w="376"/>
        <w:gridCol w:w="378"/>
        <w:gridCol w:w="109"/>
        <w:gridCol w:w="109"/>
        <w:gridCol w:w="109"/>
        <w:gridCol w:w="266"/>
        <w:gridCol w:w="266"/>
        <w:gridCol w:w="268"/>
        <w:gridCol w:w="109"/>
        <w:gridCol w:w="109"/>
        <w:gridCol w:w="109"/>
        <w:gridCol w:w="306"/>
        <w:gridCol w:w="306"/>
        <w:gridCol w:w="308"/>
        <w:gridCol w:w="109"/>
        <w:gridCol w:w="109"/>
        <w:gridCol w:w="109"/>
        <w:gridCol w:w="343"/>
        <w:gridCol w:w="857"/>
        <w:gridCol w:w="168"/>
        <w:gridCol w:w="109"/>
        <w:gridCol w:w="109"/>
        <w:gridCol w:w="109"/>
        <w:gridCol w:w="561"/>
        <w:gridCol w:w="1855"/>
        <w:gridCol w:w="456"/>
      </w:tblGrid>
      <w:tr>
        <w:trPr/>
        <w:tc>
          <w:tcPr>
            <w:tcW w:w="57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8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14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Dividends per Share/Unit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Dividends/Distributions on Stock and Units (in thousands)</w:t>
            </w:r>
          </w:p>
        </w:tc>
      </w:tr>
      <w:tr>
        <w:trPr/>
        <w:tc>
          <w:tcPr>
            <w:tcW w:w="1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Stock/Common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01/08/2026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14,293 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Stock/Common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03/26/2026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04/02/2026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13,721 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Stock/Common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13,643 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2" w:type="dxa"/>
            <w:gridSpan w:val="3"/>
            <w:tcBorders/>
            <w:vAlign w:val="center"/>
          </w:tcPr>
          <w:p>
            <w:pPr>
              <w:pStyle w:val="TableContents"/>
              <w:bidi w:val="0"/>
              <w:spacing w:before="0" w:after="283"/>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01/01/2026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0.421875 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2,887 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0.421875 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2,887 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05/12/2026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07/01/2026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0.421875 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2,887 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72" w:type="dxa"/>
            <w:gridSpan w:val="3"/>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i/>
          <w:color w:val="000000"/>
          <w:sz w:val="20"/>
        </w:rPr>
      </w:pPr>
      <w:r>
        <w:rPr>
          <w:rFonts w:ascii="Times New Roman;serif" w:hAnsi="Times New Roman;serif"/>
          <w:b/>
          <w:i/>
          <w:color w:val="000000"/>
          <w:sz w:val="20"/>
        </w:rPr>
        <w:t xml:space="preserve">11. Stock-Based Compensation </w:t>
      </w:r>
    </w:p>
    <w:p>
      <w:pPr>
        <w:pStyle w:val="TextBody"/>
        <w:bidi w:val="0"/>
        <w:spacing w:lineRule="auto" w:line="288" w:before="0" w:after="0"/>
        <w:jc w:val="left"/>
        <w:rPr>
          <w:color w:val="000000"/>
        </w:rPr>
      </w:pPr>
      <w:r>
        <w:rPr>
          <w:color w:val="000000"/>
        </w:rPr>
        <w:t> </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Second Amended and Restated 2013 Equity Incentive Plan, as amended (the "Equity Plan"), permits the grant of restricted stock awards, stock options, stock appreciation rights, LTIP Units, performance units, and other equity-based awards up to an aggregate of 6,900,000 shares of common stock. As of June 30, 2026, there were 698,413 shares available for issuance under the Equity Plan. Items disclosed throughout this footnote include award data for employees associated with discontinued operations. Refer to Note 4 for additional detail related to vesting of awards for these employees in connection with the sale of the general contracting and real estate services business.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Restricted or Unrestricted Stock Awards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issues time-based awards in the form of restricted stock to certain employees (executive and non-executive) and certain non-employee directors. Employee restricted stock awards generally vest over a period of two years: one-third immediately on the grant date and the remaining two-thirds in equal amounts on the first two anniversaries following the grant date, subject to continued service to the Company. Non-employee director restricted stock awards may vest either immediately upon grant or over a period of approximately one year, subject to continued service to the Company. Unvested restricted stock awards are entitled to receive distributions from their grant date.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the restricted stock awards was determined using the closing stock price as of the day before the grant date.</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the unvested restricted shares is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65"/>
        <w:gridCol w:w="496"/>
        <w:gridCol w:w="497"/>
        <w:gridCol w:w="469"/>
        <w:gridCol w:w="424"/>
        <w:gridCol w:w="360"/>
        <w:gridCol w:w="688"/>
        <w:gridCol w:w="1670"/>
        <w:gridCol w:w="359"/>
        <w:gridCol w:w="109"/>
        <w:gridCol w:w="109"/>
        <w:gridCol w:w="109"/>
        <w:gridCol w:w="469"/>
        <w:gridCol w:w="424"/>
        <w:gridCol w:w="360"/>
        <w:gridCol w:w="613"/>
        <w:gridCol w:w="1788"/>
        <w:gridCol w:w="317"/>
        <w:gridCol w:w="109"/>
        <w:gridCol w:w="109"/>
        <w:gridCol w:w="161"/>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2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2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January 1</w:t>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146,493 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165,497 </w:t>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81,156 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381,796 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(161,119)</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3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(377,253)</w:t>
            </w:r>
          </w:p>
        </w:tc>
        <w:tc>
          <w:tcPr>
            <w:tcW w:w="3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(8,144)</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June 30</w:t>
            </w:r>
          </w:p>
        </w:tc>
        <w:tc>
          <w:tcPr>
            <w:tcW w:w="8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58,386 </w:t>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164,041 </w:t>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color w:val="000000"/>
          <w:sz w:val="20"/>
        </w:rPr>
        <w:t>During the three months ended June 30, 2026 and 2025, in connection with the vesting of restricted stock awards, employees tendered 51,107 and 146,624</w:t>
      </w:r>
      <w:r>
        <w:rPr>
          <w:color w:val="00764D"/>
        </w:rPr>
        <w:t xml:space="preserve"> </w:t>
      </w:r>
      <w:r>
        <w:rPr>
          <w:rFonts w:ascii="Times New Roman;serif" w:hAnsi="Times New Roman;serif"/>
          <w:b w:val="false"/>
          <w:color w:val="000000"/>
          <w:sz w:val="20"/>
        </w:rPr>
        <w:t xml:space="preserve">shares, respectively, to satisfy minimum statutory tax withholding obligations. As of June 30, 2026, the total unrecognized compensation expense related to unvested shares of restricted stock was $0.3 million, which the Company expects to recognize over a weighted average period of 14 months.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LTIP Unit Awards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LTIP Units are a special class of partnership interests in the Operating Partnership ("LTIP Units"). The Operating Partnership has two classes of LTIP Units: (1) Time-Based LTIP Units, which have time-based vesting conditions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Based LTIP Units”), and (2) Performance LTIP Units, which have market-based and/or performance-based vesting conditions (“Performance LTIP Units”). Each LTIP Unit awarded is deemed equivalent to an award of one share of common stock under the Equity Plan, reducing the availability for other equity awards on a one-for-one basis. The vesting period for Time-Based LTIP Units, if any, and the vesting conditions for Performance LTIP Units will be determined at the time of issuance. Under the terms of the Operating Partnership's agreement of limited partnership, the Operating Partnership will revalue for tax purposes its assets upon the occurrence of certain specified events, and any increase in valuation from the time of grant until such event will be allocated first to the holders of LTIP Units to equalize the capital accounts of such holders with the capital accounts of Common OP unitholders. Subject to any agreed upon exceptions (including pursuant to the applicable LTIP Unit award agreement), once vested and having achieved parity with Common OP unitholders, LTIP Units are convertible into Common OP Units on a one-for-one basis. Unvested Time-Based LTIP Units are entitled to receive distributions from their grant date. Performance-Based LTIP Units include a dividend provision in which 10% of outstanding units receives a distribution during the performance period and the remainder of the dividends are settled on the conclusion of the performance period based on the number of performance-based LTIP units that ultimately vest upon achievement of the specified performance criteria.</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LTIP Unit awards have the following vesting schedules: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Time-Based LTIP Units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erif" w:hAnsi="Times New Roman;serif"/>
          <w:b w:val="false"/>
          <w:i/>
          <w:color w:val="000000"/>
          <w:sz w:val="20"/>
        </w:rPr>
        <w:t>2024 &amp; 2025 Executive (2023 &amp; 2024 Short Term Incentive Plan):</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Granted in March 2024 or 2025, these units vest two-fifths immediately upon grant and one-fifth on each of the first three anniversaries of the grant date, subject to continued service to the Company.</w:t>
      </w:r>
    </w:p>
    <w:p>
      <w:pPr>
        <w:pStyle w:val="TextBody"/>
        <w:bidi w:val="0"/>
        <w:spacing w:lineRule="auto" w:line="256" w:before="0" w:after="0"/>
        <w:ind w:left="0" w:right="0" w:hanging="360"/>
        <w:jc w:val="left"/>
        <w:rPr/>
      </w:pPr>
      <w:r>
        <w:rPr>
          <w:color w:val="000000"/>
        </w:rPr>
        <w:t>•</w:t>
      </w:r>
      <w:r>
        <w:rPr>
          <w:rFonts w:ascii="Times New Roman;serif" w:hAnsi="Times New Roman;serif"/>
          <w:b w:val="false"/>
          <w:i/>
          <w:color w:val="000000"/>
          <w:sz w:val="20"/>
        </w:rPr>
        <w:t>2025 Consultant:</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Granted in August 2025, these units vest 100% on the first anniversary of the grant date, subject to continued service to the Company.</w:t>
      </w:r>
    </w:p>
    <w:p>
      <w:pPr>
        <w:pStyle w:val="TextBody"/>
        <w:bidi w:val="0"/>
        <w:spacing w:lineRule="auto" w:line="256" w:before="0" w:after="0"/>
        <w:ind w:left="0" w:right="0" w:hanging="360"/>
        <w:jc w:val="left"/>
        <w:rPr/>
      </w:pPr>
      <w:r>
        <w:rPr>
          <w:color w:val="000000"/>
        </w:rPr>
        <w:t>•</w:t>
      </w:r>
      <w:r>
        <w:rPr>
          <w:rFonts w:ascii="Times New Roman;serif" w:hAnsi="Times New Roman;serif"/>
          <w:b w:val="false"/>
          <w:i/>
          <w:color w:val="000000"/>
          <w:sz w:val="20"/>
        </w:rPr>
        <w:t>2025 and 2026 Non-Executive:</w:t>
      </w:r>
      <w:r>
        <w:rPr>
          <w:color w:val="000000"/>
        </w:rPr>
        <w:t xml:space="preserve">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Granted in March 2025 or 2026, these units vest in three equal installments of one-third each immediately, and on the first and second anniversaries of the grant date, subject to continued service to the Company.</w:t>
      </w:r>
    </w:p>
    <w:p>
      <w:pPr>
        <w:pStyle w:val="TextBody"/>
        <w:bidi w:val="0"/>
        <w:spacing w:lineRule="auto" w:line="256" w:before="0" w:after="0"/>
        <w:ind w:left="0" w:right="0" w:hanging="360"/>
        <w:jc w:val="left"/>
        <w:rPr/>
      </w:pPr>
      <w:r>
        <w:rPr>
          <w:color w:val="000000"/>
        </w:rPr>
        <w:t>•</w:t>
      </w:r>
      <w:r>
        <w:rPr>
          <w:rFonts w:ascii="Times New Roman;serif" w:hAnsi="Times New Roman;serif"/>
          <w:b w:val="false"/>
          <w:i/>
          <w:color w:val="000000"/>
          <w:sz w:val="20"/>
        </w:rPr>
        <w:t>2025 and 2026 Executive (Enhanced Long Term Incentive Plan):</w:t>
      </w:r>
      <w:r>
        <w:rPr>
          <w:color w:val="000000"/>
        </w:rPr>
        <w:t xml:space="preserve">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Granted in March 2025 or 2026, these units vest in three equal installments of one-third each on the first, second, and third anniversaries of the grant date, subject to continued service to the Company.</w:t>
      </w:r>
    </w:p>
    <w:p>
      <w:pPr>
        <w:pStyle w:val="TextBody"/>
        <w:bidi w:val="0"/>
        <w:spacing w:lineRule="auto" w:line="256" w:before="0" w:after="0"/>
        <w:ind w:left="0" w:right="0" w:hanging="360"/>
        <w:jc w:val="left"/>
        <w:rPr/>
      </w:pPr>
      <w:r>
        <w:rPr>
          <w:color w:val="000000"/>
        </w:rPr>
        <w:t>•</w:t>
      </w:r>
      <w:r>
        <w:rPr>
          <w:rFonts w:ascii="Times New Roman;serif" w:hAnsi="Times New Roman;serif"/>
          <w:b w:val="false"/>
          <w:i/>
          <w:color w:val="000000"/>
          <w:sz w:val="20"/>
        </w:rPr>
        <w:t>2026 Executive - Retention:</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Granted in March 2026, these units vest fully on the third anniversary of the grant date.</w:t>
      </w:r>
    </w:p>
    <w:p>
      <w:pPr>
        <w:pStyle w:val="TextBody"/>
        <w:bidi w:val="0"/>
        <w:spacing w:lineRule="auto" w:line="256" w:before="0" w:after="0"/>
        <w:ind w:left="0" w:right="0" w:hanging="360"/>
        <w:jc w:val="left"/>
        <w:rPr/>
      </w:pPr>
      <w:r>
        <w:rPr>
          <w:color w:val="000000"/>
        </w:rPr>
        <w:t>•</w:t>
      </w:r>
      <w:r>
        <w:rPr>
          <w:rFonts w:ascii="Times New Roman;serif" w:hAnsi="Times New Roman;serif"/>
          <w:b w:val="false"/>
          <w:i/>
          <w:color w:val="000000"/>
          <w:sz w:val="20"/>
        </w:rPr>
        <w:t>2026 Alignment of Interest Award:</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To be granted in March 2027, executives and certain non-executives were given the option to elect to take the cash portion of their annual bonus as Time-Based LTIP Units. Additionally, the recipients of the awards may elect to have all Time-Based LTIP Units vested upon issuance over a three year vesting schedule where one-third vests on each anniversary following the grant date. If the vesting schedule is elected, the bonus potential increases to 125% of the target award.</w:t>
      </w:r>
    </w:p>
    <w:p>
      <w:pPr>
        <w:pStyle w:val="TextBody"/>
        <w:bidi w:val="0"/>
        <w:spacing w:lineRule="auto" w:line="256" w:before="0" w:after="0"/>
        <w:ind w:left="0" w:right="0" w:hanging="360"/>
        <w:jc w:val="left"/>
        <w:rPr/>
      </w:pPr>
      <w:r>
        <w:rPr>
          <w:color w:val="000000"/>
        </w:rPr>
        <w:t>•</w:t>
      </w:r>
      <w:r>
        <w:rPr>
          <w:rFonts w:ascii="Times New Roman;serif" w:hAnsi="Times New Roman;serif"/>
          <w:b w:val="false"/>
          <w:i/>
          <w:color w:val="000000"/>
          <w:sz w:val="20"/>
        </w:rPr>
        <w:t>2026 Board of Directors:</w:t>
      </w:r>
      <w:r>
        <w:rPr>
          <w:color w:val="000000"/>
        </w:rPr>
        <w:t xml:space="preserve"> </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Granted in June 2026, these units vest 100% at the time of the 2027 Annual Stockholders Meeting subject to continued service to the Company.</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values of the Time-Based LTIP Units granted in March 2024, 2025, and 2026 were determined using a combination of the following; Black-Scholes Model, Finnerty Look-Back Option Analysis, and Monte Carlo Simulation, considering the Company's stock price as of the grant date. The Company estimates the compensation expense for the LTIP Units on a straight-line basis using a calculation that recognizes 100% of the grant date fair value over the applicable vesting period for employees (based on the vesting schedule described in the previous paragraph), or approximately one year for directors.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Performance-Based LTIP Units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Times New Roman;serif" w:hAnsi="Times New Roman;serif"/>
          <w:b w:val="false"/>
          <w:i/>
          <w:color w:val="000000"/>
          <w:sz w:val="20"/>
        </w:rPr>
        <w:t>2025 Executive and 2026 Executive and Non-Executive:</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Granted in March 2025 or 2026, these units vest on the third anniversary of the grant date, subject to the achievement of specified market-based criteria.</w:t>
      </w:r>
    </w:p>
    <w:p>
      <w:pPr>
        <w:pStyle w:val="TextBody"/>
        <w:bidi w:val="0"/>
        <w:spacing w:lineRule="auto" w:line="256" w:before="0" w:after="0"/>
        <w:ind w:left="0" w:right="0" w:hanging="360"/>
        <w:jc w:val="left"/>
        <w:rPr/>
      </w:pPr>
      <w:r>
        <w:rPr>
          <w:color w:val="000000"/>
        </w:rPr>
        <w:t>•</w:t>
      </w:r>
      <w:r>
        <w:rPr>
          <w:rFonts w:ascii="Times New Roman;serif" w:hAnsi="Times New Roman;serif"/>
          <w:b w:val="false"/>
          <w:i/>
          <w:color w:val="000000"/>
          <w:sz w:val="20"/>
        </w:rPr>
        <w:t>2025 Executive and Non-Executive Special Award:</w:t>
      </w:r>
    </w:p>
    <w:p>
      <w:pPr>
        <w:pStyle w:val="TextBody"/>
        <w:bidi w:val="0"/>
        <w:spacing w:lineRule="auto" w:line="256" w:before="0" w:after="0"/>
        <w:ind w:left="0" w:right="0" w:hanging="360"/>
        <w:jc w:val="left"/>
        <w:rPr/>
      </w:pPr>
      <w:r>
        <w:rPr>
          <w:color w:val="000000"/>
        </w:rPr>
        <w:t>◦</w:t>
      </w:r>
      <w:r>
        <w:rPr>
          <w:rFonts w:ascii="Times New Roman;serif" w:hAnsi="Times New Roman;serif"/>
          <w:b w:val="false"/>
          <w:color w:val="000000"/>
          <w:sz w:val="20"/>
        </w:rPr>
        <w:t>Granted in June 2025, these units vest on the fifth anniversary of the grant date, subject to the achievement of specified market-based and performance-based criteria.</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of the Performance-Based LTIP Units granted in March of 2025 and 2026 were determined using a Monte Carlo Simulation considering the Company's stock price as of the grant date. The fair value of the Performance-Based LTIP Units granted in June of 2025 were determined using Monte Carlo Simulation for total shareholder return, and estimated probability of awards that will vest multiplied by the number of total enterprise value relayed units multiplied by the closing stock price on the grant date. The Company estimates the compensation expense for the LTIP Units on a straight-line basis using a calculation that recognizes 100% of the grant date fair value over the applicable vesting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for employees (based on the vesting schedule described in the previous paragraph), with the exception of the total enterprise value relayed units described above, whose probability of vesting may change upon vesting expectations.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the unvested LTIP Unit awards is as follows:</w:t>
      </w:r>
    </w:p>
    <w:tbl>
      <w:tblPr>
        <w:tblW w:w="10205" w:type="dxa"/>
        <w:jc w:val="left"/>
        <w:tblInd w:w="0" w:type="dxa"/>
        <w:tblLayout w:type="fixed"/>
        <w:tblCellMar>
          <w:top w:w="28" w:type="dxa"/>
          <w:left w:w="28" w:type="dxa"/>
          <w:bottom w:w="28" w:type="dxa"/>
          <w:right w:w="28" w:type="dxa"/>
        </w:tblCellMar>
      </w:tblPr>
      <w:tblGrid>
        <w:gridCol w:w="552"/>
        <w:gridCol w:w="485"/>
        <w:gridCol w:w="487"/>
        <w:gridCol w:w="488"/>
        <w:gridCol w:w="488"/>
        <w:gridCol w:w="354"/>
        <w:gridCol w:w="670"/>
        <w:gridCol w:w="1626"/>
        <w:gridCol w:w="350"/>
        <w:gridCol w:w="109"/>
        <w:gridCol w:w="109"/>
        <w:gridCol w:w="109"/>
        <w:gridCol w:w="554"/>
        <w:gridCol w:w="446"/>
        <w:gridCol w:w="354"/>
        <w:gridCol w:w="670"/>
        <w:gridCol w:w="1626"/>
        <w:gridCol w:w="350"/>
        <w:gridCol w:w="109"/>
        <w:gridCol w:w="109"/>
        <w:gridCol w:w="160"/>
      </w:tblGrid>
      <w:tr>
        <w:trPr/>
        <w:tc>
          <w:tcPr>
            <w:tcW w:w="55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2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2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January 1</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2,111,445 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119,872 </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1,337,838 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2,106,041 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(158,576)</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(95,208)</w:t>
            </w:r>
          </w:p>
        </w:tc>
        <w:tc>
          <w:tcPr>
            <w:tcW w:w="3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June 30</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3,290,707 </w:t>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2,130,705 </w:t>
            </w:r>
          </w:p>
        </w:tc>
        <w:tc>
          <w:tcPr>
            <w:tcW w:w="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6.53 </w:t>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and 2025, there were no LTIP Units tendered to satisfy minimum statutory tax withholding obligations. As of June 30, 2026, the total unrecognized compensation expense related to unvested LTIP Units was $9.9 million, which the Company expects to recognize over a weighted average period of 48 months. </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Performance Unit Awards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endeavors to further align the incentives of certain members of management with its long-term investors by awarding a portion of their equity compensation in the form of multi-year performance unit awards that use the level of achievement of the total shareholder return as the primary metric ("Performance Units"). Vesting of 50% of the target award is based solely on continued employment and vesting of the remainder of the award (50%) is based on the Company’s relative TSR performance over the 3-year period following execution of each agreement. The Performance Units may convert into shares of common stock at a range of 0% to 200% of the number of Performance Units granted contingent upon the participant’s continued employment and the Company’s relative total stockholder return ("TSR") at specified percentiles of the peer group. At the end of the Performance Units’ measurement period, if the applicable criterion are met, Performance Units generally vest two-fifths on the last day of the three-year performance period, and the remaining three-fifths in equal amounts on the first three anniversaries following the end of the three-year performance period, subject to continued service to the Company and certain market conditions. For unvested Performance Units granted in 2021 and prior, vesting of 50% of the target award is based on absolute TSR and vesting of the remainder of the award (50%) is based on relative TSR. Awards granted in 2021 and prior are fully vested as of June 30, 2026. Unvested Performance Units are entitled to accumulate distributions from their grant date, payable in cash or in additional shares of common stock upon issuance of the common stock to which those dividends relate.</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the performance units was determined using a Monte Carlo simulation considering the stock price as of the grant date. The Company estimates the compensation expense for the performance units on a straight-line basis using a calculation that recognizes 100% of the grant date fair value over five years for performance units granted prior to 2022 and six years for performance units granted in 2022 and beyond.</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A summary of the unvested Performance Unit awards is as follows:</w:t>
      </w:r>
    </w:p>
    <w:tbl>
      <w:tblPr>
        <w:tblW w:w="10205" w:type="dxa"/>
        <w:jc w:val="left"/>
        <w:tblInd w:w="0" w:type="dxa"/>
        <w:tblLayout w:type="fixed"/>
        <w:tblCellMar>
          <w:top w:w="28" w:type="dxa"/>
          <w:left w:w="28" w:type="dxa"/>
          <w:bottom w:w="28" w:type="dxa"/>
          <w:right w:w="28" w:type="dxa"/>
        </w:tblCellMar>
      </w:tblPr>
      <w:tblGrid>
        <w:gridCol w:w="565"/>
        <w:gridCol w:w="497"/>
        <w:gridCol w:w="498"/>
        <w:gridCol w:w="469"/>
        <w:gridCol w:w="417"/>
        <w:gridCol w:w="361"/>
        <w:gridCol w:w="614"/>
        <w:gridCol w:w="1791"/>
        <w:gridCol w:w="318"/>
        <w:gridCol w:w="109"/>
        <w:gridCol w:w="109"/>
        <w:gridCol w:w="109"/>
        <w:gridCol w:w="469"/>
        <w:gridCol w:w="417"/>
        <w:gridCol w:w="361"/>
        <w:gridCol w:w="614"/>
        <w:gridCol w:w="1791"/>
        <w:gridCol w:w="318"/>
        <w:gridCol w:w="109"/>
        <w:gridCol w:w="109"/>
        <w:gridCol w:w="160"/>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2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Shares</w:t>
            </w:r>
          </w:p>
        </w:tc>
        <w:tc>
          <w:tcPr>
            <w:tcW w:w="27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as of January 1</w:t>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103,000 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110,375 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Granted</w:t>
            </w:r>
            <w:r>
              <w:rPr>
                <w:rFonts w:ascii="Times New Roman;serif" w:hAnsi="Times New Roman;serif"/>
                <w:b w:val="false"/>
                <w:color w:val="000000"/>
                <w:sz w:val="13"/>
              </w:rPr>
              <w:t>(1)</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Vested</w:t>
            </w:r>
            <w:r>
              <w:rPr>
                <w:rFonts w:ascii="Times New Roman;serif" w:hAnsi="Times New Roman;serif"/>
                <w:b w:val="false"/>
                <w:color w:val="000000"/>
                <w:sz w:val="13"/>
              </w:rPr>
              <w:t>(2)</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(9,125)</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as of June 30</w:t>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75,500 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146,250 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11.55 </w:t>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w:t>
      </w:r>
    </w:p>
    <w:p>
      <w:pPr>
        <w:pStyle w:val="TextBody"/>
        <w:bidi w:val="0"/>
        <w:spacing w:lineRule="auto" w:line="256"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(1)No grants were issued under this program in 2026.</w:t>
      </w:r>
    </w:p>
    <w:p>
      <w:pPr>
        <w:pStyle w:val="TextBody"/>
        <w:bidi w:val="0"/>
        <w:spacing w:lineRule="auto" w:line="256"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(2)Amounts for 2026 represent acceleration of continued employment (50%) of outstanding awards where performance criteria was met for certain employees who departed the company as a result of the sale of the general contracting and real estate services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35"/>
        <w:gridCol w:w="294"/>
        <w:gridCol w:w="296"/>
        <w:gridCol w:w="572"/>
        <w:gridCol w:w="459"/>
        <w:gridCol w:w="461"/>
        <w:gridCol w:w="109"/>
        <w:gridCol w:w="109"/>
        <w:gridCol w:w="109"/>
        <w:gridCol w:w="310"/>
        <w:gridCol w:w="907"/>
        <w:gridCol w:w="160"/>
        <w:gridCol w:w="109"/>
        <w:gridCol w:w="109"/>
        <w:gridCol w:w="109"/>
        <w:gridCol w:w="399"/>
        <w:gridCol w:w="399"/>
        <w:gridCol w:w="401"/>
        <w:gridCol w:w="109"/>
        <w:gridCol w:w="109"/>
        <w:gridCol w:w="109"/>
        <w:gridCol w:w="381"/>
        <w:gridCol w:w="279"/>
        <w:gridCol w:w="698"/>
        <w:gridCol w:w="109"/>
        <w:gridCol w:w="109"/>
        <w:gridCol w:w="109"/>
        <w:gridCol w:w="255"/>
        <w:gridCol w:w="256"/>
        <w:gridCol w:w="442"/>
        <w:gridCol w:w="109"/>
        <w:gridCol w:w="109"/>
        <w:gridCol w:w="109"/>
        <w:gridCol w:w="277"/>
        <w:gridCol w:w="249"/>
        <w:gridCol w:w="740"/>
      </w:tblGrid>
      <w:tr>
        <w:trPr/>
        <w:tc>
          <w:tcPr>
            <w:tcW w:w="33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 of Award</w:t>
            </w:r>
          </w:p>
        </w:tc>
        <w:tc>
          <w:tcPr>
            <w:tcW w:w="14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 of Units 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Conversion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Risk Free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Volatility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Expected Dividends</w:t>
            </w:r>
          </w:p>
        </w:tc>
      </w:tr>
      <w:tr>
        <w:trPr/>
        <w:tc>
          <w:tcPr>
            <w:tcW w:w="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42,500 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0% to 200%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0% to 200%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 xml:space="preserve">0% to 200%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0"/>
              </w:rPr>
            </w:pPr>
            <w:r>
              <w:rPr>
                <w:rFonts w:ascii="Times New Roman;serif" w:hAnsi="Times New Roman;serif"/>
                <w:b w:val="false"/>
                <w:color w:val="000000"/>
                <w:sz w:val="10"/>
              </w:rPr>
              <w:t>(1)</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 xml:space="preserve">0% to 200%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0"/>
              </w:rPr>
            </w:pPr>
            <w:r>
              <w:rPr>
                <w:rFonts w:ascii="Times New Roman;serif" w:hAnsi="Times New Roman;serif"/>
                <w:b w:val="false"/>
                <w:color w:val="000000"/>
                <w:sz w:val="10"/>
              </w:rPr>
              <w:t>(1)</w:t>
            </w:r>
          </w:p>
        </w:tc>
        <w:tc>
          <w:tcPr>
            <w:tcW w:w="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0% to 200%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0"/>
              </w:rPr>
            </w:pPr>
            <w:r>
              <w:rPr>
                <w:rFonts w:ascii="Times New Roman;serif" w:hAnsi="Times New Roman;serif"/>
                <w:b w:val="false"/>
                <w:color w:val="000000"/>
                <w:sz w:val="10"/>
              </w:rPr>
              <w:t>(1)</w:t>
            </w:r>
          </w:p>
        </w:tc>
        <w:tc>
          <w:tcPr>
            <w:tcW w:w="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w:t>
      </w:r>
    </w:p>
    <w:p>
      <w:pPr>
        <w:pStyle w:val="TextBody"/>
        <w:bidi w:val="0"/>
        <w:spacing w:lineRule="auto" w:line="288" w:before="0" w:after="0"/>
        <w:ind w:left="0" w:right="0" w:hanging="450"/>
        <w:jc w:val="left"/>
        <w:rPr>
          <w:rFonts w:ascii="Times New Roman;serif" w:hAnsi="Times New Roman;serif"/>
          <w:b w:val="false"/>
          <w:color w:val="000000"/>
          <w:sz w:val="18"/>
        </w:rPr>
      </w:pPr>
      <w:r>
        <w:rPr>
          <w:rFonts w:ascii="Times New Roman;serif" w:hAnsi="Times New Roman;serif"/>
          <w:b w:val="false"/>
          <w:color w:val="000000"/>
          <w:sz w:val="18"/>
        </w:rPr>
        <w:t>(1)For Performance Units granted in 2022 and beyond, only 50% of each Award is subject to the conversion range. The remainder (50%) is guaranteed 1 to 1 conversion as long as the employee remains employed at the Company.</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there were 7,387 Performance Units tendered by employees to satisfy minimum statutory tax withholding obligations. During the three months ended June 30, 2025, in connection with the vesting of Performance Units, zero shares of common stock were tendered by employees to satisfy minimum statutory tax withholding obligations. As of June 30, 2026, the total unrecognized compensation expense related to unvested Performance Units was $0.4 million, which the Company expects to recognize over a weighted average period of 54 months.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i/>
          <w:color w:val="000000"/>
          <w:sz w:val="20"/>
        </w:rPr>
      </w:pPr>
      <w:r>
        <w:rPr>
          <w:rFonts w:ascii="Times New Roman;serif" w:hAnsi="Times New Roman;serif"/>
          <w:b/>
          <w:i/>
          <w:color w:val="000000"/>
          <w:sz w:val="20"/>
        </w:rPr>
        <w:t xml:space="preserve">12. Fair Value of Financial Instruments </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measurements are based on assumptions that market participants would use in pricing an asset or a liability. The hierarchy for inputs used in measuring fair value is as follows: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Level 1 — quoted prices in active markets for identical assets or liabilities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Level 2 — observable inputs other than quoted prices in active markets for identical assets and liabilities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Level 3 — unobservable inputs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Except as disclosed below, the carrying amounts of the Company’s financial instruments approximate their fair values. Financial assets and liabilities whose fair values are measured on a recurring basis using Level 2 inputs consist of interest rate swaps. The Company measures the fair values of these assets and liabilities based on prices provided by independent market participants that are based on observable inputs using market-based valuation techniques.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assets and liabilities whose fair values are not measured at fair value but for which the fair value is disclosed include the Company's notes receivable and indebtedness. The fair value is estimated by discounting the future cash flows of each instrument at estimated market rates consistent with the maturity, credit characteristics, and other terms of the arrangements, which are Level 3 inputs under the fair value hierarchy.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certain cases, the inputs used to estimate the fair value may fall into different levels of the fair value hierarchy. For disclosure purposes, the level within which the fair value measurement is categorized is based on the lowest level input that is significant to the fair value measurement.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Considerable judgment is used to estimate the fair value of financial instruments. The estimates of fair value presented herein are not necessarily indicative of the amounts that could be realized upon disposition of the financial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carrying amounts and fair values of the Company’s financial instruments as of June 30, 2026 and December 31, 2025 were as follows (in thousands): </w:t>
      </w:r>
    </w:p>
    <w:tbl>
      <w:tblPr>
        <w:tblW w:w="9746" w:type="dxa"/>
        <w:jc w:val="left"/>
        <w:tblInd w:w="0" w:type="dxa"/>
        <w:tblLayout w:type="fixed"/>
        <w:tblCellMar>
          <w:top w:w="28" w:type="dxa"/>
          <w:left w:w="28" w:type="dxa"/>
          <w:bottom w:w="28" w:type="dxa"/>
          <w:right w:w="28" w:type="dxa"/>
        </w:tblCellMar>
      </w:tblPr>
      <w:tblGrid>
        <w:gridCol w:w="1271"/>
        <w:gridCol w:w="1118"/>
        <w:gridCol w:w="1120"/>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Indebtedness, net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1,288,947 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Liabilities of discontinued operations</w:t>
            </w:r>
            <w:r>
              <w:rPr>
                <w:rFonts w:ascii="Times New Roman;serif" w:hAnsi="Times New Roman;serif"/>
                <w:b w:val="false"/>
                <w:color w:val="000000"/>
                <w:sz w:val="13"/>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Assets of discontinued operations</w:t>
            </w: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swaps,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6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 Excludes $4.4 million and $5.1 million of deferred financing costs as of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hanging="360"/>
        <w:jc w:val="left"/>
        <w:rPr/>
      </w:pPr>
      <w:r>
        <w:rPr>
          <w:rFonts w:ascii="Times New Roman;serif" w:hAnsi="Times New Roman;serif"/>
          <w:b w:val="false"/>
          <w:color w:val="000000"/>
          <w:sz w:val="18"/>
        </w:rPr>
        <w:t>(2) Liabilities of discontinued operations represent mortgages payable secured by assets presented as discontinued operation</w:t>
      </w:r>
      <w:r>
        <w:rPr>
          <w:rFonts w:ascii="Times New Roman;serif" w:hAnsi="Times New Roman;serif"/>
          <w:b w:val="false"/>
          <w:color w:val="000000"/>
          <w:sz w:val="20"/>
        </w:rPr>
        <w:t>s.</w:t>
      </w:r>
    </w:p>
    <w:p>
      <w:pPr>
        <w:pStyle w:val="TextBody"/>
        <w:bidi w:val="0"/>
        <w:spacing w:lineRule="auto" w:line="26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 Excludes $0.6 million and $1.5 million of deferred financing costs as of June 30, 2026 and December 31, 2025, respectively.</w:t>
      </w:r>
    </w:p>
    <w:p>
      <w:pPr>
        <w:pStyle w:val="TextBody"/>
        <w:bidi w:val="0"/>
        <w:spacing w:lineRule="auto" w:line="26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 Assets of discontinued operations represents notes receivable presented as discontinued operations.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i/>
          <w:color w:val="000000"/>
          <w:sz w:val="20"/>
        </w:rPr>
      </w:pPr>
      <w:r>
        <w:rPr>
          <w:rFonts w:ascii="Times New Roman;serif" w:hAnsi="Times New Roman;serif"/>
          <w:b/>
          <w:i/>
          <w:color w:val="000000"/>
          <w:sz w:val="20"/>
        </w:rPr>
        <w:t xml:space="preserve">13. Commitments and Contingencies </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from time to time involved in various disputes, lawsuits, warranty claims, environmental, and other matters arising in the ordinary course of business. Management makes assumptions and estimates concerning the likelihood and amount of any potential loss relating to these matters.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currently is a party to various legal proceedings, none of which management expects will have a material adverse effect on the Company’s financial position, results of operations, or liquidity. Management accrues a liability for litigation if an unfavorable outcome is determined to be probable and the amount of loss can be reasonably estimated. If an unfavorable outcome is determined to be probable and a range of loss can be reasonably estimated, management accrues the best estimate within the range; however, if no amount within the range is a better estimate than any other, the minimum amount within the range is accrued. Legal fees related to litigation are expensed as incurred. Management does not believe that the ultimate outcome of these matters, either individually or in the aggregate, could have a material adverse effect on the Company’s financial position or results of operations; however, litigation is subject to inherent uncertainties.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Company’s leases, tenants are typically obligated to indemnify the Company from and against all liabilities, costs, and expenses imposed upon or asserted against it as owner of the properties due to certain matters relating to the operation of the properties by the tenant.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Guarantees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certain of the Company's equity method investments, the Company has made guarantees to pay portions of certain senior loans of third parties associated with the development projects. As of June 30, 2026, the Company had no outstanding guarantee liabilities.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lineRule="auto" w:line="288" w:before="0" w:after="0"/>
        <w:jc w:val="left"/>
        <w:rPr>
          <w:color w:val="000000"/>
        </w:rPr>
      </w:pPr>
      <w:r>
        <w:rPr>
          <w:color w:val="000000"/>
        </w:rPr>
        <w:t> </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Prior to the sale of its general contracting and real estate services business, the Company had a bonding line of credit and was contingently liable under performance and payment bonds, bonds for cancellation of mechanics liens and defect bonds. Such bonds collectively totaled $14.0 million as of December 31, 2025. The related commitment terminated upon sale of the general contracting and real estate services business on April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i/>
          <w:color w:val="000000"/>
          <w:sz w:val="20"/>
        </w:rPr>
      </w:pPr>
      <w:r>
        <w:rPr>
          <w:rFonts w:ascii="Times New Roman;serif" w:hAnsi="Times New Roman;serif"/>
          <w:b/>
          <w:i/>
          <w:color w:val="000000"/>
          <w:sz w:val="20"/>
        </w:rPr>
        <w:t xml:space="preserve">14. Subsequent Events </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through the date on which this Quarterly Report on Form 10-Q was filed, the date on which these financial statements were issued, and identified the items below for disclosure.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Discontinued Operations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17, 2026, the Company entered into a purchase and sale agreement to sell The Everly and Solis Gainesville II multifamily assets, for a combined purchase price of $95.5 million.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References to "we," "our," "us," and "our company" refer to AH Realty Trust, Inc., a Maryland corporation, together with our consolidated subsidiaries, including AH Realty Trust, LP, a Virginia limited partnership (the "Operating Partnership"), of which we are the sole general partner. The following discussion should be read in conjunction with the financial statements and notes thereto appearing elsewhere in this report.</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the federal securities laws. We caution investors that any forward-looking statements presented in this report, or which management may make orally or in writing from time to time, are based on beliefs and assumptions made by, and information currently available to, management. When used, the words "anticipate," "believe," "expect," "intend," "may," "might," "plan," "estimate," "project," "should," "will," "result," and similar expressions, which do not relate solely to historical matters, are intended to identify forward-looking statements. Such statements are subject to risks, uncertainties, and assumptions and are not guarantees of future performance, which may be affected by known and unknown risks, trends, uncertainties, and factors that are beyond our control. Should one or more of these risks or uncertainties materialize, or should underlying assumptions prove incorrect, actual results may vary materially from those anticipated, estimated, or projected. We caution you that while forward-looking statements reflect our good faith beliefs when we make them, they are not guarantees of future performance and are impacted by actual events when they occur after we make such statements. We expressly disclaim any responsibility to update forward-looking statements, whether as a result of new information, future events, or otherwise, except as required by law. Accordingly, investors should use caution in relying on past forward-looking statements, which are based on results and trends at the time they are made, to anticipate future results or trends.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Forward-looking statements involve numerous risks and uncertainties and you should not rely on them as predictions of future events. Forward-looking statements depend on assumptions, data, or methods which may be incorrect or imprecise, and we may not be able to realize them.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adverse economic or real estate developments, either nationally or in the markets in which our properties are located;</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our failure to generate sufficient cash flows to service our outstanding indebtedness;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defaults on, early terminations of, or non-renewal of leases by tenants, including significant tenants;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bankruptcy or insolvency of a significant tenant or a substantial number of smaller tenants;</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difficulties in identifying or completing development, acquisition, or disposition opportunities;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our ability to commence or continue development projects on the timeframes and terms currently anticipated;</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our failure to successfully operate developed and acquired properties;</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fluctuations in interest rates;</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the impact of inflation, including increases in operating costs;</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our failure to obtain necessary outside financing on favorable terms or at all;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our inability to extend the maturity of or refinance existing debt or comply with the financial covenants in the agreements that govern our existing debt;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financial market fluctuations;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risks that affect the general retail environment or the market for office properties or multifamily units;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the competitive environment in which we operate;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decreased rental rates or increased vacancy rates;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conflicts of interests with our officers and directors;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lack or insufficient amounts of insurance;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environmental uncertainties and risks related to adverse weather conditions and natural disasters;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other factors affecting the real estate industry generally;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our failure to maintain our qualification as a real estate investment trust ("REIT") for U.S. federal income tax purposes;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 xml:space="preserve">limitations imposed on our business and our ability to satisfy complex rules in order for us to maintain our qualification as a REIT for U.S. federal income tax purposes; </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changes in governmental regulations or interpretations thereof, such as real estate and zoning laws and increases in real property tax rates and taxation of REITs; and</w:t>
      </w:r>
    </w:p>
    <w:p>
      <w:pPr>
        <w:pStyle w:val="TextBody"/>
        <w:bidi w:val="0"/>
        <w:spacing w:lineRule="auto" w:line="288" w:before="0" w:after="120"/>
        <w:ind w:left="0" w:right="0" w:hanging="450"/>
        <w:jc w:val="left"/>
        <w:rPr/>
      </w:pPr>
      <w:r>
        <w:rPr>
          <w:color w:val="000000"/>
        </w:rPr>
        <w:t>•</w:t>
      </w:r>
      <w:r>
        <w:rPr>
          <w:rFonts w:ascii="Times New Roman;serif" w:hAnsi="Times New Roman;serif"/>
          <w:b w:val="false"/>
          <w:color w:val="000000"/>
          <w:sz w:val="20"/>
        </w:rPr>
        <w:t>potential negative impacts from changes to U.S. tax laws.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forward-looking statements reflect our good faith beliefs, they are not guarantees of future performance. We caution investors not to place undue reliance on these forward-looking statements and urge investors to carefully review the disclosures we make concerning risks and uncertainties in the sections entitled "Risk Factors" and "Management’s Discussion and Analysis of Financial Condition and Results of Operations" in our most recent Annual Report on Form 10-K, as well as risks, uncertainties, and other factors discussed in this Quarterly Report on Form 10-Q, and other documents that we file from time to time with the Securities and Exchange Commission (the "SEC").</w:t>
      </w:r>
    </w:p>
    <w:p>
      <w:pPr>
        <w:pStyle w:val="TextBody"/>
        <w:bidi w:val="0"/>
        <w:spacing w:lineRule="auto" w:line="288" w:before="0" w:after="0"/>
        <w:ind w:left="0" w:right="0" w:firstLine="1755"/>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Business Description</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self-managed REIT with over four decades of experience managing high-quality properties located primarily in the Mid-Atlantic and Southeastern United States. Our focus is to deliver long-term, sustainable shareholder value by consistently investing in and operating the highest-quality assets, maintaining a robust and resilient balance sheet, and fostering a dynamic, highly skilled team. We focus on well-positioned secondary and tertiary markets that demonstrate strong population growth, favorable demand drivers, and attractive long-term fundamentals.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 to Note 1 to our condensed consolidated financial statements in Item 1 of this Quarterly Report on Form 10-Q for the composition of properties in our operating property portfolio, as well as properties not yet stabilized.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Discontinued Operations</w:t>
      </w:r>
    </w:p>
    <w:p>
      <w:pPr>
        <w:pStyle w:val="TextBody"/>
        <w:bidi w:val="0"/>
        <w:spacing w:before="0" w:after="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first quarter, the Company completed a strategic review of its business and elected to divest its real estate financing and multifamily segments, which, together with the general contracting and real estate services segment, are now reported as discontinued operations. The decision to exit these segments was made in connection with the Company’s broader initiative to simplify its business model and focus on its core retail and office real estate operations. Management believes that the divestiture of these segments will allow the Company to further strengthen its balance sheet and focus on its core competencies, while reducing complexity and risk associated with non-core activities.</w:t>
      </w:r>
    </w:p>
    <w:p>
      <w:pPr>
        <w:pStyle w:val="TextBody"/>
        <w:bidi w:val="0"/>
        <w:spacing w:before="0" w:after="0"/>
        <w:ind w:left="0" w:right="0" w:firstLine="72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entered into a letter of intent relating to the potential sale of its general contracting and real estate services business during the period, and subsequently closed on this sale on April 30, 2026. The transaction included a transition services agreement for a 90 day period of time following the closing to provide human resources, payroll services, and information technology services.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13, 2026, certain wholly owned subsidiaries of the Company entered into a purchase and sale agreement with an unrelated third-party to sell eleven out of the Company's fourteen multifamily properties for a combined purchase price of $562.0 million in cash, subject to certain adjustments, with a $15.0 million non-refundable deposit (the "Multifamily Portfolio Sale"). The Multifamily Portfolio Sale is not contingent on the receipt of financing by the buyer. On May 20, 2026, the Company completed the disposition of nine properties, which included the disposition of retail components of five of the properties and the office component of one of the properties, for aggregate proceeds of $485.0 million (the "First Closing"). The nine properties that were disposed of were: (1) Encore Apartments, (2) The Cosmopolitan, (3) Allied | Harbor Point, (4) 1405 Point Street, (5) 1305 Dock Street, (6) Chronicle Mill Apartments, (7) Chandler Residences, (8) The Edison and (9) Liberty Apartments. The Company expects to complete the disposition of the remaining assets included in the Multifamily Portfolio Sale as follows: Greenside Apartments by the end of 2026 and Premier Apartments by mid-2027. Two of the Company's other multifamily assets, The Everly and Solis Gainesville II, became subject to a purchase and sale agreement as of July 17, 2026 and are expected to close by the end of the third quarter of 2026.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on March 27, 2026, the Company sold two of the real estate financing investments and on April 30, 2026, the investment secured by The Allure at Edinburgh was fully redeemed. The remaining investment, Solis Kennesaw, is expected to close by the end of the first quarter of 2027.</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can be no assurances that the Multifamily Portfolio Sale or the sale of the Company's other assets will occur on the timeline or on the terms the Company anticipates, if at all.</w:t>
      </w:r>
    </w:p>
    <w:p>
      <w:pPr>
        <w:pStyle w:val="TextBody"/>
        <w:bidi w:val="0"/>
        <w:spacing w:before="0" w:after="0"/>
        <w:ind w:left="0" w:right="0" w:firstLine="72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material terms of these transactions included cash consideration, the transfer of related assets and liabilities, and the settlement of certain contingent obligations. As a result of these actions, the results of operations, assets, and liabilities of the general contracting and real estate services, multifamily, and real estate financing segments have been reclassified as discontinued operations for all periods presented.</w:t>
      </w:r>
    </w:p>
    <w:p>
      <w:pPr>
        <w:pStyle w:val="TextBody"/>
        <w:bidi w:val="0"/>
        <w:spacing w:before="0" w:after="0"/>
        <w:ind w:left="0" w:right="0" w:firstLine="720"/>
        <w:jc w:val="left"/>
        <w:rPr/>
      </w:pPr>
      <w:r>
        <w:rPr/>
      </w:r>
    </w:p>
    <w:p>
      <w:pPr>
        <w:pStyle w:val="TextBody"/>
        <w:bidi w:val="0"/>
        <w:spacing w:lineRule="auto" w:line="273"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discussion should be read in conjunction with the condensed consolidated financial statements and notes thereto appearing in Item 1 of this Quarterly Report on Form 10-Q. All historical financial information has been retrospectively adjusted to reflect the general contracting and real estate services, multifamily, and real estate financing businesses as discontinued operations. The decision to exit these segments resulted in the reclassification of approximately $21.1 million in revenue for the three months ended June 30, 2026 to discontinued operations.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Operating Segments</w:t>
      </w:r>
    </w:p>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Following the discontinuation of the general contracting and real estate services, multifamily, and real estate financing segments, we operate our business through two reportable segments:</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rPr>
        <w:t>1.</w:t>
      </w:r>
      <w:r>
        <w:rPr>
          <w:rFonts w:ascii="Times New Roman;serif" w:hAnsi="Times New Roman;serif"/>
          <w:b w:val="false"/>
          <w:color w:val="000000"/>
          <w:sz w:val="20"/>
        </w:rPr>
        <w:t>Retail real estate: The Company’s retail portfolio is concentrated in high-barrier-to-entry markets and is anchored by credit-worthy tenants, including grocery stores and big-box retailers. As of June 30, 2026, the retail portfolio had a leased occupancy level of 95.1%, and renewal spreads (on a GAAP basis) of 11.5%</w:t>
      </w:r>
      <w:r>
        <w:rPr>
          <w:color w:val="000000"/>
        </w:rPr>
        <w:t xml:space="preserve"> </w:t>
      </w:r>
      <w:r>
        <w:rPr>
          <w:rFonts w:ascii="Times New Roman;serif" w:hAnsi="Times New Roman;serif"/>
          <w:b w:val="false"/>
          <w:color w:val="000000"/>
          <w:sz w:val="20"/>
        </w:rPr>
        <w:t>.</w:t>
      </w:r>
    </w:p>
    <w:p>
      <w:pPr>
        <w:pStyle w:val="TextBody"/>
        <w:bidi w:val="0"/>
        <w:spacing w:before="0" w:after="0"/>
        <w:ind w:left="0" w:right="0" w:firstLine="1080"/>
        <w:jc w:val="left"/>
        <w:rPr/>
      </w:pPr>
      <w:r>
        <w:rPr/>
      </w:r>
    </w:p>
    <w:p>
      <w:pPr>
        <w:pStyle w:val="TextBody"/>
        <w:bidi w:val="0"/>
        <w:spacing w:lineRule="auto" w:line="276" w:before="0" w:after="0"/>
        <w:ind w:left="0" w:right="0" w:firstLine="720"/>
        <w:jc w:val="left"/>
        <w:rPr/>
      </w:pPr>
      <w:r>
        <w:rPr>
          <w:rFonts w:ascii="Times New Roman;serif" w:hAnsi="Times New Roman;serif"/>
          <w:b w:val="false"/>
          <w:color w:val="000000"/>
          <w:sz w:val="20"/>
        </w:rPr>
        <w:t>2.</w:t>
      </w:r>
      <w:r>
        <w:rPr>
          <w:rFonts w:ascii="Times New Roman;serif" w:hAnsi="Times New Roman;serif"/>
          <w:b w:val="false"/>
          <w:color w:val="000000"/>
          <w:sz w:val="20"/>
        </w:rPr>
        <w:t>Office real estate: The office portfolio consists primarily of Class A office space located in mixed-use town centers, such as the Town Center of Virginia Beach and Harbor Point in Baltimore. The segment continues to benefit from the "flight to quality" trend, maintaining an occupancy level of 96.7% and new leasing spreads (on a GAAP basis) of 20.5%.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Times New Roman;serif" w:hAnsi="Times New Roman;serif"/>
          <w:b/>
          <w:i/>
          <w:color w:val="000000"/>
          <w:sz w:val="20"/>
        </w:rPr>
      </w:pPr>
      <w:r>
        <w:rPr>
          <w:rFonts w:ascii="Times New Roman;serif" w:hAnsi="Times New Roman;serif"/>
          <w:b/>
          <w:i/>
          <w:color w:val="000000"/>
          <w:sz w:val="20"/>
        </w:rPr>
        <w:t>Second Quarter 2026 and Recent Highlights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highlights our results of operations and significant transactions for the three months ended June 30, 2026 and other recent developments: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As part of its ongoing governance enhancements supporting the Company’s strategic transformation, the Company advanced its board refreshment process by electing Theodore Bigman and Lori Wittman as independent directors at the Company’s 2026 Annual Meeting of Stockholders (the “2026 Annual Meeting”). Following the 2026 Annual Meeting, Dennis Gartman and George Allen retired from the Board and each of Mr. Bigman and Ms. Wittman were appointed to the board’s Audit Committee. Additionally, F. Blair Wimbush was appointed Chair of the Board's Nominating and Corporate Governance Committee and was appointed to the Board's Compensation Committee.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On May 20, 2026, we completed the sale of nine multifamily properties and six of the retail and office components of the properties, for aggregate gross proceeds of $485.0 million, generating a net gain on sale of $18.8 million, after transaction costs and escrow amounts. Using these proceeds, we repaid $265.5 million of secured debt and $195.0 million of unsecured debt on our revolving credit facility. Two multifamily properties remain under contract for $77.0 million.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On April 30, 2026, we fully realized $17.2 million for The Allure at Edinburgh real estate financing investment and used the proceeds to pay down our debt.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On April 30, 2026, we completed the sale of the general contracting and real estate services business for total economic consideration of $2.4 million, further advancing our strategic plan to simplify the business and focus on core retail and office operations.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During the quarter ended June 30, 2026, we repurchased 2.0 million shares of common stock for a total of $12.4 million, bringing the total for the year to 5.6 million for a total of $33.2 million.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loss attributable to common stockholders and holders ("OP Unitholders") of units of limited partnership interest in the Operating Partnership ("OP Units") of $24.2 million, or $0.25 per diluted share, compared to net income attributable to common stockholders and OP Unitholders of $3.9 million, or $0.04 per diluted share, for the three months ended June 30, 2025.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Funds from operations attributable to common stockholders and OP Unitholders ("FFO") of $15.4 million, or $0.16 per diluted share, compared to $19.0 million, or $0.19 per diluted share, for the three months ended June 30, 2025. See "Non-GAAP Financial Measures."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FFO, As Adjusted from operations attributable to common stockholders and OP Unitholders ("FFO, As Adjusted") of $14.1 million, or $0.14 per diluted share, compared to $13.8 million, or $0.14 per diluted share, for the three months ended June 30, 2025. See "Non-GAAP Financial Measures."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As of June 30, 2026, weighted average stabilized portfolio leased occupancy was</w:t>
      </w:r>
      <w:r>
        <w:rPr>
          <w:color w:val="000000"/>
        </w:rPr>
        <w:t xml:space="preserve"> </w:t>
      </w:r>
      <w:r>
        <w:rPr>
          <w:rFonts w:ascii="Times New Roman;serif" w:hAnsi="Times New Roman;serif"/>
          <w:b w:val="false"/>
          <w:color w:val="000000"/>
          <w:sz w:val="20"/>
        </w:rPr>
        <w:t>95.9%</w:t>
      </w:r>
      <w:r>
        <w:rPr>
          <w:rFonts w:ascii="Roboto;sans-serif" w:hAnsi="Roboto;sans-serif"/>
          <w:b w:val="false"/>
          <w:color w:val="000000"/>
          <w:sz w:val="20"/>
        </w:rPr>
        <w:t xml:space="preserve">. </w:t>
      </w:r>
      <w:r>
        <w:rPr>
          <w:rFonts w:ascii="Times New Roman;serif" w:hAnsi="Times New Roman;serif"/>
          <w:b w:val="false"/>
          <w:color w:val="000000"/>
          <w:sz w:val="20"/>
        </w:rPr>
        <w:t>Retail leased occupancy increased</w:t>
      </w:r>
      <w:r>
        <w:rPr>
          <w:color w:val="000000"/>
        </w:rPr>
        <w:t xml:space="preserve"> </w:t>
      </w:r>
      <w:r>
        <w:rPr>
          <w:rFonts w:ascii="Times New Roman;serif" w:hAnsi="Times New Roman;serif"/>
          <w:b w:val="false"/>
          <w:color w:val="000000"/>
          <w:sz w:val="20"/>
        </w:rPr>
        <w:t>0.3%</w:t>
      </w:r>
      <w:r>
        <w:rPr>
          <w:color w:val="000000"/>
        </w:rPr>
        <w:t xml:space="preserve"> </w:t>
      </w:r>
      <w:r>
        <w:rPr>
          <w:rFonts w:ascii="Roboto;sans-serif" w:hAnsi="Roboto;sans-serif"/>
          <w:b w:val="false"/>
          <w:color w:val="000000"/>
          <w:sz w:val="20"/>
        </w:rPr>
        <w:t xml:space="preserve">to </w:t>
      </w:r>
      <w:r>
        <w:rPr>
          <w:rFonts w:ascii="Times New Roman;serif" w:hAnsi="Times New Roman;serif"/>
          <w:b w:val="false"/>
          <w:color w:val="000000"/>
          <w:sz w:val="20"/>
        </w:rPr>
        <w:t>95.1%</w:t>
      </w:r>
      <w:r>
        <w:rPr>
          <w:color w:val="000000"/>
        </w:rPr>
        <w:t xml:space="preserve"> </w:t>
      </w:r>
      <w:r>
        <w:rPr>
          <w:rFonts w:ascii="Times New Roman;serif" w:hAnsi="Times New Roman;serif"/>
          <w:b w:val="false"/>
          <w:color w:val="000000"/>
          <w:sz w:val="20"/>
        </w:rPr>
        <w:t>and office leased occupancy increased</w:t>
      </w:r>
      <w:r>
        <w:rPr>
          <w:color w:val="000000"/>
        </w:rPr>
        <w:t xml:space="preserve"> </w:t>
      </w:r>
      <w:r>
        <w:rPr>
          <w:rFonts w:ascii="Times New Roman;serif" w:hAnsi="Times New Roman;serif"/>
          <w:b w:val="false"/>
          <w:color w:val="000000"/>
          <w:sz w:val="20"/>
        </w:rPr>
        <w:t>0.7%</w:t>
      </w:r>
      <w:r>
        <w:rPr>
          <w:color w:val="000000"/>
        </w:rPr>
        <w:t xml:space="preserve"> </w:t>
      </w:r>
      <w:r>
        <w:rPr>
          <w:rFonts w:ascii="Roboto;sans-serif" w:hAnsi="Roboto;sans-serif"/>
          <w:b w:val="false"/>
          <w:color w:val="000000"/>
          <w:sz w:val="20"/>
        </w:rPr>
        <w:t xml:space="preserve">to </w:t>
      </w:r>
      <w:r>
        <w:rPr>
          <w:rFonts w:ascii="Times New Roman;serif" w:hAnsi="Times New Roman;serif"/>
          <w:b w:val="false"/>
          <w:color w:val="000000"/>
          <w:sz w:val="20"/>
        </w:rPr>
        <w:t>96.7%</w:t>
      </w:r>
      <w:r>
        <w:rPr>
          <w:rFonts w:ascii="Roboto;sans-serif" w:hAnsi="Roboto;sans-serif"/>
          <w:b w:val="false"/>
          <w:color w:val="000000"/>
          <w:sz w:val="20"/>
        </w:rPr>
        <w: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As of June 30, 2026, weighted average stabilized portfolio economic occupancy was</w:t>
      </w:r>
      <w:r>
        <w:rPr>
          <w:color w:val="000000"/>
        </w:rPr>
        <w:t xml:space="preserve"> </w:t>
      </w:r>
      <w:r>
        <w:rPr>
          <w:rFonts w:ascii="Times New Roman;serif" w:hAnsi="Times New Roman;serif"/>
          <w:b w:val="false"/>
          <w:color w:val="000000"/>
          <w:sz w:val="20"/>
        </w:rPr>
        <w:t>90.7%</w:t>
      </w:r>
      <w:r>
        <w:rPr>
          <w:rFonts w:ascii="Roboto;sans-serif" w:hAnsi="Roboto;sans-serif"/>
          <w:b w:val="false"/>
          <w:color w:val="000000"/>
          <w:sz w:val="20"/>
        </w:rPr>
        <w:t xml:space="preserve">. </w:t>
      </w:r>
      <w:r>
        <w:rPr>
          <w:rFonts w:ascii="Times New Roman;serif" w:hAnsi="Times New Roman;serif"/>
          <w:b w:val="false"/>
          <w:color w:val="000000"/>
          <w:sz w:val="20"/>
        </w:rPr>
        <w:t>Retail economic occupancy decreased</w:t>
      </w:r>
      <w:r>
        <w:rPr>
          <w:color w:val="000000"/>
        </w:rPr>
        <w:t xml:space="preserve"> </w:t>
      </w:r>
      <w:r>
        <w:rPr>
          <w:rFonts w:ascii="Times New Roman;serif" w:hAnsi="Times New Roman;serif"/>
          <w:b w:val="false"/>
          <w:color w:val="000000"/>
          <w:sz w:val="20"/>
        </w:rPr>
        <w:t>1.6%</w:t>
      </w:r>
      <w:r>
        <w:rPr>
          <w:color w:val="000000"/>
        </w:rPr>
        <w:t xml:space="preserve"> </w:t>
      </w:r>
      <w:r>
        <w:rPr>
          <w:rFonts w:ascii="Roboto;sans-serif" w:hAnsi="Roboto;sans-serif"/>
          <w:b w:val="false"/>
          <w:color w:val="000000"/>
          <w:sz w:val="20"/>
        </w:rPr>
        <w:t xml:space="preserve">to </w:t>
      </w:r>
      <w:r>
        <w:rPr>
          <w:rFonts w:ascii="Times New Roman;serif" w:hAnsi="Times New Roman;serif"/>
          <w:b w:val="false"/>
          <w:color w:val="000000"/>
          <w:sz w:val="20"/>
        </w:rPr>
        <w:t>90.9%</w:t>
      </w:r>
      <w:r>
        <w:rPr>
          <w:rFonts w:ascii="Roboto;sans-serif" w:hAnsi="Roboto;sans-serif"/>
          <w:b w:val="false"/>
          <w:color w:val="000000"/>
          <w:sz w:val="20"/>
        </w:rPr>
        <w:t>,</w:t>
      </w:r>
      <w:r>
        <w:rPr>
          <w:color w:val="000000"/>
        </w:rPr>
        <w:t xml:space="preserve"> </w:t>
      </w:r>
      <w:r>
        <w:rPr>
          <w:rFonts w:ascii="Times New Roman;serif" w:hAnsi="Times New Roman;serif"/>
          <w:b w:val="false"/>
          <w:color w:val="000000"/>
          <w:sz w:val="20"/>
        </w:rPr>
        <w:t>and office economic occupancy increased</w:t>
      </w:r>
      <w:r>
        <w:rPr>
          <w:color w:val="000000"/>
        </w:rPr>
        <w:t xml:space="preserve"> </w:t>
      </w:r>
      <w:r>
        <w:rPr>
          <w:rFonts w:ascii="Times New Roman;serif" w:hAnsi="Times New Roman;serif"/>
          <w:b w:val="false"/>
          <w:color w:val="000000"/>
          <w:sz w:val="20"/>
        </w:rPr>
        <w:t>2.8%</w:t>
      </w:r>
      <w:r>
        <w:rPr>
          <w:color w:val="000000"/>
        </w:rPr>
        <w:t xml:space="preserve"> </w:t>
      </w:r>
      <w:r>
        <w:rPr>
          <w:rFonts w:ascii="Roboto;sans-serif" w:hAnsi="Roboto;sans-serif"/>
          <w:b w:val="false"/>
          <w:color w:val="000000"/>
          <w:sz w:val="20"/>
        </w:rPr>
        <w:t>to</w:t>
      </w:r>
      <w:r>
        <w:rPr>
          <w:color w:val="000000"/>
        </w:rPr>
        <w:t xml:space="preserve"> </w:t>
      </w:r>
      <w:r>
        <w:rPr>
          <w:rFonts w:ascii="Times New Roman;serif" w:hAnsi="Times New Roman;serif"/>
          <w:b w:val="false"/>
          <w:color w:val="000000"/>
          <w:sz w:val="20"/>
        </w:rPr>
        <w:t>90.5%</w:t>
      </w:r>
      <w:r>
        <w:rPr>
          <w:rFonts w:ascii="Roboto;sans-serif" w:hAnsi="Roboto;sans-serif"/>
          <w:b w:val="false"/>
          <w:color w:val="000000"/>
          <w:sz w:val="20"/>
        </w:rPr>
        <w:t>.</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Executed 11 retail lease renewals and 6 new leases during the second quarter for an aggregate of 107,736 net rentable square feet. Positive spreads on both new leases and renewals: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New leasing spreads of 9.4% (GAAP) and 5.2% (Cash).</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Renewal leasing spreads of 11.5% (GAAP) and 8.7% (Cash).</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Executed 3 office lease renewals and 5 new leases during the second quarter for an aggregate of 55,739 net rentable square feet. Positive spreads on both new leases and renewals: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New leasing spreads of 20.5% (GAAP) and 9.5% (Cash).</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Renewal leasing spreads of 40.2% (GAAP) and 21.6% (Cash).</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Same Store Net Operating Income ("NOI") on a cash basis increased 2.9% for the retail segment and 8.3% for the office segment compared to the quarter ended June 30, 2025.</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During the second quarter of 2026, unrealized losses on non-designated interest rate derivatives that negatively affected FFO were $2.2 million. As of June 30, 2026, the value of the Company’s entire interest rate derivative portfolio, net of unrealized losses, was $4.0 million.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Segment Results of Continuing Operations</w:t>
      </w:r>
    </w:p>
    <w:p>
      <w:pPr>
        <w:pStyle w:val="TextBody"/>
        <w:bidi w:val="0"/>
        <w:spacing w:before="0" w:after="0"/>
        <w:ind w:left="0" w:right="0" w:firstLine="12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operated our business in two segments: (i) retail real estate and (ii) office real estate.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NOI is the primary measure used by our chief operating decision-maker to assess segment performance and allocate our resources among our segments. We calculate NOI as segment revenues less segment expenses. Segment revenues include rental revenues and segment expenses include rental expenses and real estate taxes for our property segments. NOI is not a measure of operating income or cash flows from operating activities as measured by accounting principles generally accepted in the United States ("GAAP") and is not indicative of cash available to fund cash needs. As a result, NOI should not be considered an alternative to cash flows as a measure of liquidity. Not all companies calculate NOI in the same manner. We consider NOI to be an appropriate supplemental measure to net income because it assists both investors and management in understanding the core operations of our real estate businesses. See Note 3 to our condensed consolidated financial statements in Item 1 of this Quarterly Report on Form 10-Q for a reconciliation of NOI to net income, the most directly comparable GAAP measure.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define same store properties as those properties that we owned and operated and that were stabilized for the entirety of both periods presented. We generally consider a property to be stabilized upon the earlier of: (i) the quarter after the property reaches 80% physical occupancy or (ii) the thirteenth quarter after the property receives its certificate of occupancy. Additionally, any property that is fully or partially taken out of service for the purpose of redevelopment is no longer considered stabilized until the redevelopment activities are complete, the asset is placed back into service, and the stabilization criteria above are again met. A property may also be fully or partially taken out of service as a result of a partial disposition, depending on the significance of the portion of the property disposed. Finally, any property classified as held for sale is taken out of service for the purpose of computing same store operating results.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Retail Segment Data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Retail rental revenues, property expenses, and NOI for the three and six months ended June 30, 2026 and 2025 were as follows (in thousands): </w:t>
      </w:r>
    </w:p>
    <w:tbl>
      <w:tblPr>
        <w:tblW w:w="9515" w:type="dxa"/>
        <w:jc w:val="left"/>
        <w:tblInd w:w="0" w:type="dxa"/>
        <w:tblLayout w:type="fixed"/>
        <w:tblCellMar>
          <w:top w:w="28" w:type="dxa"/>
          <w:left w:w="28" w:type="dxa"/>
          <w:bottom w:w="28" w:type="dxa"/>
          <w:right w:w="28" w:type="dxa"/>
        </w:tblCellMar>
      </w:tblPr>
      <w:tblGrid>
        <w:gridCol w:w="574"/>
        <w:gridCol w:w="506"/>
        <w:gridCol w:w="509"/>
        <w:gridCol w:w="109"/>
        <w:gridCol w:w="109"/>
        <w:gridCol w:w="109"/>
        <w:gridCol w:w="211"/>
        <w:gridCol w:w="721"/>
        <w:gridCol w:w="109"/>
        <w:gridCol w:w="109"/>
        <w:gridCol w:w="109"/>
        <w:gridCol w:w="109"/>
        <w:gridCol w:w="211"/>
        <w:gridCol w:w="721"/>
        <w:gridCol w:w="109"/>
        <w:gridCol w:w="109"/>
        <w:gridCol w:w="109"/>
        <w:gridCol w:w="109"/>
        <w:gridCol w:w="211"/>
        <w:gridCol w:w="466"/>
        <w:gridCol w:w="109"/>
        <w:gridCol w:w="109"/>
        <w:gridCol w:w="109"/>
        <w:gridCol w:w="109"/>
        <w:gridCol w:w="464"/>
        <w:gridCol w:w="257"/>
        <w:gridCol w:w="230"/>
        <w:gridCol w:w="230"/>
        <w:gridCol w:w="230"/>
        <w:gridCol w:w="230"/>
        <w:gridCol w:w="464"/>
        <w:gridCol w:w="257"/>
        <w:gridCol w:w="230"/>
        <w:gridCol w:w="109"/>
        <w:gridCol w:w="109"/>
        <w:gridCol w:w="109"/>
        <w:gridCol w:w="211"/>
        <w:gridCol w:w="466"/>
        <w:gridCol w:w="154"/>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48,885 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48,111 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35,525 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35,109 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Retail segment NOI for the three and six months ended June 30, 2026 was materially consistent with the three and six months ended June 30,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Retail Same Store Results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Retail same store results for the three and six months ended June 30, 2026 and 2025 exclude Allied | Harbor Point Retail, Liberty Retail, The Edison Retail, Point Street Retail, and Chronicle Mill Retail due to being disposed as part of the First Closing of the Multifamily Portfolio Sale. They also exclude Southern Post Retail, which is not yet stabilized.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Retail same store rental revenues, property expenses, and NOI for the three and six months ended June 30, 2026 and 2025 were as follows (in thousands):</w:t>
      </w:r>
    </w:p>
    <w:tbl>
      <w:tblPr>
        <w:tblW w:w="10038" w:type="dxa"/>
        <w:jc w:val="left"/>
        <w:tblInd w:w="0" w:type="dxa"/>
        <w:tblLayout w:type="fixed"/>
        <w:tblCellMar>
          <w:top w:w="28" w:type="dxa"/>
          <w:left w:w="28" w:type="dxa"/>
          <w:bottom w:w="28" w:type="dxa"/>
          <w:right w:w="28" w:type="dxa"/>
        </w:tblCellMar>
      </w:tblPr>
      <w:tblGrid>
        <w:gridCol w:w="829"/>
        <w:gridCol w:w="731"/>
        <w:gridCol w:w="735"/>
        <w:gridCol w:w="109"/>
        <w:gridCol w:w="109"/>
        <w:gridCol w:w="109"/>
        <w:gridCol w:w="211"/>
        <w:gridCol w:w="721"/>
        <w:gridCol w:w="109"/>
        <w:gridCol w:w="109"/>
        <w:gridCol w:w="109"/>
        <w:gridCol w:w="109"/>
        <w:gridCol w:w="211"/>
        <w:gridCol w:w="721"/>
        <w:gridCol w:w="109"/>
        <w:gridCol w:w="109"/>
        <w:gridCol w:w="109"/>
        <w:gridCol w:w="109"/>
        <w:gridCol w:w="211"/>
        <w:gridCol w:w="466"/>
        <w:gridCol w:w="109"/>
        <w:gridCol w:w="109"/>
        <w:gridCol w:w="109"/>
        <w:gridCol w:w="109"/>
        <w:gridCol w:w="211"/>
        <w:gridCol w:w="721"/>
        <w:gridCol w:w="109"/>
        <w:gridCol w:w="109"/>
        <w:gridCol w:w="109"/>
        <w:gridCol w:w="109"/>
        <w:gridCol w:w="211"/>
        <w:gridCol w:w="721"/>
        <w:gridCol w:w="109"/>
        <w:gridCol w:w="109"/>
        <w:gridCol w:w="109"/>
        <w:gridCol w:w="109"/>
        <w:gridCol w:w="211"/>
        <w:gridCol w:w="466"/>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Same Store NOI, cash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Non-Same Store 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NOI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26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Retail same store NOI for the three and six months ended June 30, 2026 increased $0.5 million and $0.8 million, or 2.9% and 2.5%, respectively, compared to the three and six months ended June 30, 2025, primarily due to new leases at Columbus Village due to commencing operations following redevelopment and the favorable resolution of a real estate tax appeal at Patterson Place, which resulted in a reduction of property tax expense during the period.</w:t>
      </w:r>
    </w:p>
    <w:p>
      <w:pPr>
        <w:pStyle w:val="TextBody"/>
        <w:bidi w:val="0"/>
        <w:spacing w:before="0" w:after="0"/>
        <w:ind w:left="0" w:right="0" w:firstLine="720"/>
        <w:jc w:val="left"/>
        <w:rPr/>
      </w:pPr>
      <w:r>
        <w:rPr/>
      </w:r>
    </w:p>
    <w:p>
      <w:pPr>
        <w:pStyle w:val="TextBody"/>
        <w:bidi w:val="0"/>
        <w:spacing w:lineRule="auto" w:line="288" w:before="0" w:after="0"/>
        <w:jc w:val="left"/>
        <w:rPr/>
      </w:pPr>
      <w:r>
        <w:rPr>
          <w:rFonts w:ascii="Times New Roman;serif" w:hAnsi="Times New Roman;serif"/>
          <w:b/>
          <w:i/>
          <w:color w:val="000000"/>
          <w:sz w:val="20"/>
        </w:rPr>
        <w:t>Office Segment Data</w:t>
      </w:r>
      <w:r>
        <w:rPr>
          <w:color w:val="000000"/>
        </w:rPr>
        <w: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Office rental revenues, property expenses, and NOI for the three and six months ended June 30, 2026 and 2025 were as follows (in thousands): </w:t>
      </w:r>
    </w:p>
    <w:tbl>
      <w:tblPr>
        <w:tblW w:w="9632" w:type="dxa"/>
        <w:jc w:val="left"/>
        <w:tblInd w:w="0" w:type="dxa"/>
        <w:tblLayout w:type="fixed"/>
        <w:tblCellMar>
          <w:top w:w="28" w:type="dxa"/>
          <w:left w:w="28" w:type="dxa"/>
          <w:bottom w:w="28" w:type="dxa"/>
          <w:right w:w="28" w:type="dxa"/>
        </w:tblCellMar>
      </w:tblPr>
      <w:tblGrid>
        <w:gridCol w:w="574"/>
        <w:gridCol w:w="506"/>
        <w:gridCol w:w="5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Office segment NOI for the three months ended June 30, 2026 increased $0.5 million, or 3.5%, respectively, compared to the three months ended June 30, 2025. The increase in office segment NOI was primarily due to new leases at 222 Central Park Office, The Interlock Office, and Thames Street Wharf. This is partially offset by an increase in utilities, salaries and compensation, and contracted property services primarily across the Harbor Point properties. Office segment NOI for the six months ended June 30, 2026 was materially consistent with the six months ended June 30, 2025.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Office Same Store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Office same store results for the three and six months ended June 30, 2026 and 2025 exclude Chronicle Mill Office, due to being disposed as part of the First Closing of the Multifamily Portfolio Sale, and Southern Post Office, which is not yet stabilized.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Office same store rental revenues, property expenses, and NOI for the three and six months ended June 30, 2026 and 2025 were as follows (in thousands): </w:t>
      </w:r>
    </w:p>
    <w:tbl>
      <w:tblPr>
        <w:tblW w:w="10205" w:type="dxa"/>
        <w:jc w:val="left"/>
        <w:tblInd w:w="0" w:type="dxa"/>
        <w:tblLayout w:type="fixed"/>
        <w:tblCellMar>
          <w:top w:w="28" w:type="dxa"/>
          <w:left w:w="28" w:type="dxa"/>
          <w:bottom w:w="28" w:type="dxa"/>
          <w:right w:w="28" w:type="dxa"/>
        </w:tblCellMar>
      </w:tblPr>
      <w:tblGrid>
        <w:gridCol w:w="799"/>
        <w:gridCol w:w="679"/>
        <w:gridCol w:w="683"/>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5"/>
      </w:tblGrid>
      <w:tr>
        <w:trPr/>
        <w:tc>
          <w:tcPr>
            <w:tcW w:w="79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Same Store NOI, cash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Non-Same Store 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NOI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Office same store NOI for the three and six months ended June 30, 2026 increased $1.1 million and $1.2 million, or 8.3% and 4.5%, respectively, compared to the three and six months ended June 30, 2025. The increase in office same store NOI was primarily due to new leases at The Interlock Office, Two Columbus Office, One Columbus, and 222 Central Park Office, partially offset by a partial termination at One City Center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Consolidated Results of Continuing Operations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results of operations for the three and six months ended June 30, 2026 and 2025 (unaudited, in thousands): </w:t>
      </w:r>
    </w:p>
    <w:tbl>
      <w:tblPr>
        <w:tblW w:w="10205" w:type="dxa"/>
        <w:jc w:val="left"/>
        <w:tblInd w:w="0" w:type="dxa"/>
        <w:tblLayout w:type="fixed"/>
        <w:tblCellMar>
          <w:top w:w="28" w:type="dxa"/>
          <w:left w:w="28" w:type="dxa"/>
          <w:bottom w:w="28" w:type="dxa"/>
          <w:right w:w="28" w:type="dxa"/>
        </w:tblCellMar>
      </w:tblPr>
      <w:tblGrid>
        <w:gridCol w:w="848"/>
        <w:gridCol w:w="443"/>
        <w:gridCol w:w="394"/>
        <w:gridCol w:w="109"/>
        <w:gridCol w:w="109"/>
        <w:gridCol w:w="109"/>
        <w:gridCol w:w="211"/>
        <w:gridCol w:w="739"/>
        <w:gridCol w:w="109"/>
        <w:gridCol w:w="109"/>
        <w:gridCol w:w="109"/>
        <w:gridCol w:w="109"/>
        <w:gridCol w:w="211"/>
        <w:gridCol w:w="721"/>
        <w:gridCol w:w="109"/>
        <w:gridCol w:w="109"/>
        <w:gridCol w:w="109"/>
        <w:gridCol w:w="109"/>
        <w:gridCol w:w="211"/>
        <w:gridCol w:w="739"/>
        <w:gridCol w:w="109"/>
        <w:gridCol w:w="109"/>
        <w:gridCol w:w="109"/>
        <w:gridCol w:w="109"/>
        <w:gridCol w:w="211"/>
        <w:gridCol w:w="826"/>
        <w:gridCol w:w="109"/>
        <w:gridCol w:w="109"/>
        <w:gridCol w:w="109"/>
        <w:gridCol w:w="109"/>
        <w:gridCol w:w="211"/>
        <w:gridCol w:w="826"/>
        <w:gridCol w:w="109"/>
        <w:gridCol w:w="109"/>
        <w:gridCol w:w="109"/>
        <w:gridCol w:w="109"/>
        <w:gridCol w:w="211"/>
        <w:gridCol w:w="739"/>
        <w:gridCol w:w="157"/>
      </w:tblGrid>
      <w:tr>
        <w:trPr/>
        <w:tc>
          <w:tcPr>
            <w:tcW w:w="84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development, and other pursuit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real estate dispositions,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in income (loss) of unconsolidated real estate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consolidation of real estate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credit loss (provision) release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6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income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income from discontinued operations,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(53,791)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 in investment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common stockholders and OP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(54,136)</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Rental Revenues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Rental revenues for the three and six months ended June 30, 2026 increased $1.8 million and $4.0 million, or 3.6% and 3.9%, respectively, compared to the three and six months ended June 30, 2025 as follows (in thousands):</w:t>
      </w:r>
    </w:p>
    <w:tbl>
      <w:tblPr>
        <w:tblW w:w="8869" w:type="dxa"/>
        <w:jc w:val="left"/>
        <w:tblInd w:w="0" w:type="dxa"/>
        <w:tblLayout w:type="fixed"/>
        <w:tblCellMar>
          <w:top w:w="28" w:type="dxa"/>
          <w:left w:w="28" w:type="dxa"/>
          <w:bottom w:w="28" w:type="dxa"/>
          <w:right w:w="28" w:type="dxa"/>
        </w:tblCellMar>
      </w:tblPr>
      <w:tblGrid>
        <w:gridCol w:w="223"/>
        <w:gridCol w:w="196"/>
        <w:gridCol w:w="197"/>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826"/>
        <w:gridCol w:w="109"/>
        <w:gridCol w:w="109"/>
        <w:gridCol w:w="109"/>
        <w:gridCol w:w="109"/>
        <w:gridCol w:w="211"/>
        <w:gridCol w:w="826"/>
        <w:gridCol w:w="109"/>
        <w:gridCol w:w="109"/>
        <w:gridCol w:w="109"/>
        <w:gridCol w:w="109"/>
        <w:gridCol w:w="211"/>
        <w:gridCol w:w="616"/>
        <w:gridCol w:w="154"/>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Retail rental revenues for the three and six months ended June 30, 2026 were materially consistent with the three and six months ended June 30, 2025.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Office rental revenues for the three and six months ended June 30, 2026 increased $1.5 million and $2.4 million, or 6.3% and 5.1%, respectively, compared to the three and six months ended June 30, 2025. The increases in office rental revenues was primarily due to new leases at The Interlock Office, Two Columbus Office, and 222 Central Park Office. In addition, higher expenses, mainly related to utilities and delivery of an expansion space at Thames Street Wharf, contributed to an increase in reimbursable income.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rental revenues for the three and six months ended June 30, 2026 increased $0.1 million and $0.8 million, or 3.9% and 12.6%, respectively, compared to the three and six months ended June 30, 2025. The increases in other rental revenues was primarily due to the consolidation of Allied | Harbor Point Garage in May 2025.</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Rental Expenses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Rental expenses for the three and six months ended June 30, 2026 increased $1.3 million and $2.8 million, or 11.8% and 12.4%, respectively, compared to the three and six months ended June 30, 2025 as follows (in thousands):</w:t>
      </w:r>
    </w:p>
    <w:tbl>
      <w:tblPr>
        <w:tblW w:w="8659" w:type="dxa"/>
        <w:jc w:val="left"/>
        <w:tblInd w:w="0" w:type="dxa"/>
        <w:tblLayout w:type="fixed"/>
        <w:tblCellMar>
          <w:top w:w="28" w:type="dxa"/>
          <w:left w:w="28" w:type="dxa"/>
          <w:bottom w:w="28" w:type="dxa"/>
          <w:right w:w="28" w:type="dxa"/>
        </w:tblCellMar>
      </w:tblPr>
      <w:tblGrid>
        <w:gridCol w:w="223"/>
        <w:gridCol w:w="196"/>
        <w:gridCol w:w="197"/>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54"/>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Retail rental expenses for the three months ended June 30, 2026 were materially consistent with the three months ended June 30, 2025. Retail rental expenses for the six months ended June 30, 2026 increased $0.3 million or 3.8%, respectively, compared to the six months ended June 30, 2025. The increases in retail rental expenses was primarily due to higher utilities at Constellation Retail due to higher rates and Columbus Village due to commencing operations following redevelopment.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Office rental expenses for the three and six months ended June 30, 2026 increased $1.1 million and $2.1 million, or 17.9% and 17.3%, respectively, compared to the three and six months ended June 30, 2025. The increases in office rental expenses was primarily due to an increase in utilities at the Harbor Point properties and 222 Central Park Office due to higher usage and rates, and higher contracted property services related to window cleaning, security, and salaries and compensation at Constellation Office and Thames Street Wharf.</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rental expenses for the three and six months ended June 30, 2026 were materially consistent with the three and six months ended June 30, 2025.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50"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Real Estate Taxes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Real estate taxes for the three and six months ended June 30, 2026 decreased $0.3 million and $0.2 million, or 5.1% and 2.5%, respectively, compared to the three and six months ended June 30, 2025 as follows (in thousands):</w:t>
      </w:r>
    </w:p>
    <w:tbl>
      <w:tblPr>
        <w:tblW w:w="8152" w:type="dxa"/>
        <w:jc w:val="left"/>
        <w:tblInd w:w="0" w:type="dxa"/>
        <w:tblLayout w:type="fixed"/>
        <w:tblCellMar>
          <w:top w:w="28" w:type="dxa"/>
          <w:left w:w="28" w:type="dxa"/>
          <w:bottom w:w="28" w:type="dxa"/>
          <w:right w:w="28" w:type="dxa"/>
        </w:tblCellMar>
      </w:tblPr>
      <w:tblGrid>
        <w:gridCol w:w="223"/>
        <w:gridCol w:w="196"/>
        <w:gridCol w:w="197"/>
        <w:gridCol w:w="109"/>
        <w:gridCol w:w="109"/>
        <w:gridCol w:w="109"/>
        <w:gridCol w:w="217"/>
        <w:gridCol w:w="634"/>
        <w:gridCol w:w="112"/>
        <w:gridCol w:w="112"/>
        <w:gridCol w:w="112"/>
        <w:gridCol w:w="112"/>
        <w:gridCol w:w="217"/>
        <w:gridCol w:w="634"/>
        <w:gridCol w:w="112"/>
        <w:gridCol w:w="109"/>
        <w:gridCol w:w="109"/>
        <w:gridCol w:w="109"/>
        <w:gridCol w:w="211"/>
        <w:gridCol w:w="541"/>
        <w:gridCol w:w="109"/>
        <w:gridCol w:w="109"/>
        <w:gridCol w:w="109"/>
        <w:gridCol w:w="109"/>
        <w:gridCol w:w="211"/>
        <w:gridCol w:w="616"/>
        <w:gridCol w:w="109"/>
        <w:gridCol w:w="109"/>
        <w:gridCol w:w="109"/>
        <w:gridCol w:w="109"/>
        <w:gridCol w:w="211"/>
        <w:gridCol w:w="616"/>
        <w:gridCol w:w="109"/>
        <w:gridCol w:w="109"/>
        <w:gridCol w:w="109"/>
        <w:gridCol w:w="109"/>
        <w:gridCol w:w="211"/>
        <w:gridCol w:w="541"/>
        <w:gridCol w:w="154"/>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4,797 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Retail real estate taxes for the three and six months ended June 30, 2026 were materially consistent with the three and six months ended June 30, 2025.</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Office real estate taxes for the three and six months ended June 30, 2026 decreased $0.1 million and $0.2 million, or 6.3% and 5.4%, respectively, compared to the three and six months ended June 30, 2025. The decreases in office real estate taxes were primarily due to tax credits received at The Interlock Office and Southern Post Office, decreased tax rates at One City Center Office, and a prior year special benefit tax payment paid in 2025 at Wills Wharf.</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real estate taxes for the three and six months ended June 30, 2026 were materially consistent with the three and six months ended June 30, 2025.</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for the three months ended June 30, 2026 increased $1.2 million, or 7.4%, compared to the three months ended June 30, 2025. The increase in depreciation and amortization was primarily due to the non-material correction of a prior year depreciation calculation that resulted in lower expense in the current period. Depreciation and amortization for the six months ended June 30, 2026 was materially consistent with the six months ended June 30, 2025.</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three months ended June 30, 2026 increased $0.8 million, or 18.5% compared to the three months ended June 30, 2025 primarily due to professional services fees. General and administrative expenses for the six months ended June 30, 2026 decreased $1.7 million, or 14.6%, compared to the six months ended June 30, 2025 primarily due to the one-time acceleration of the former Chief Executive Officer's performance award in 2025 related to the prior year performance.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Acquisition, Development, and Other Pursuit Costs</w:t>
      </w:r>
    </w:p>
    <w:p>
      <w:pPr>
        <w:pStyle w:val="TextBody"/>
        <w:bidi w:val="0"/>
        <w:spacing w:before="0" w:after="0"/>
        <w:jc w:val="left"/>
        <w:rPr/>
      </w:pPr>
      <w:r>
        <w:rPr/>
      </w:r>
    </w:p>
    <w:p>
      <w:pPr>
        <w:pStyle w:val="TextBody"/>
        <w:bidi w:val="0"/>
        <w:spacing w:lineRule="auto" w:line="288" w:before="0" w:after="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Acquisition, development, and other pursuit costs for the three and six months ended June 30, 2026 and 2025 were immaterial.</w:t>
      </w:r>
    </w:p>
    <w:p>
      <w:pPr>
        <w:pStyle w:val="TextBody"/>
        <w:bidi w:val="0"/>
        <w:spacing w:before="0" w:after="0"/>
        <w:ind w:left="0" w:right="0" w:firstLine="81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Impairment Charges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determined that certain prospective development projects no longer met the Company's investment and strategic criteria and ceased pursuit of these opportunities. As a result, we recorded an impairment charge of $1.8 million to write off capitalized predevelopment, planning, and pursuit costs associated with these projects for the three and six months ended June 30, 2026, in line with our strategic direction.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Non-Operating Income and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for the three and six months ended June 30, 2026 was materially consistent with the three and six months ended June 30, 2025.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for the three months ended June 30, 2026 decreased $1.2 million, or 7.6%, compared to the three months ended June 30, 2025, primarily due to approximately $456.0 million of debt repayments (net of additional borrowings) following the First Closing of the Multifamily Portfolio Sale. Interest expense for the six months ended was materially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51" name="Frame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consistent with the six months ended June 30, 2025, primarily a result of the current quarter decrease, offset by interest capitalized on a development property in the first quarter of 2025.</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Equity in income (loss) of unconsolidated real estate entities for the three months ended June 30, 2026 was materially consistent with the three months ended June 30, 2025. Equity in income (loss) of unconsolidated real estate entities for the six months ended June 30, 2026 increased $1.8 million, compared to the six months ended June 30, 2025. The increase is a result of Harbor Point Parcel 3 being fully operational in 2026 and Harbor Point Parcel 4 losses from the first quarter of 2025 while in lease up.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Gain on consolidation of real estate entities for the three and six months ended June 30, 2025 reflects the consolidation of Harbor Point Parcel 4, otherwise known as Allied | Harbor Point, in the second quarter of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for the three and six months ended June 30, 2026 represents the unamortized deferred financing costs and prepayment penalties related to the extinguishment of $265.5 million in secured debt using the proceeds from the First Closing of the Multifamily Portfolio Sale. The charge was non-operating in nature and reflects the Company's efforts to optimize its capital structure and reduce future interest expense.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 in fair value of derivatives and other for the three and six months ended June 30, 2026 included a decrease in interest receipts for non-designated derivatives due to lower SOFR rates on our non-designated hedges compared to the prior year, and a decrease in the fair value of our derivative instruments due to the changes in the forward SOFR curve.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unrealized credit loss (provision) release for the three and six months ended June 30, 2026 were immaterial.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Changes in other income (expense), net for the three and six months ended June 30, 2026 were immaterial.</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Discontinued Operations Data</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General Contracting and Real Estate Services Segment Data</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contracting and real estate services revenues, expenses, and gross profit for the three and six months ended June 30, 2026 and 2025 were as follows ($ in thousands). The 2026 amounts reflect activity through April 30, 2026, the date on which the Company completed the sale of its general contracting and real estate services business: </w:t>
      </w:r>
    </w:p>
    <w:tbl>
      <w:tblPr>
        <w:tblW w:w="10336" w:type="dxa"/>
        <w:jc w:val="left"/>
        <w:tblInd w:w="0" w:type="dxa"/>
        <w:tblLayout w:type="fixed"/>
        <w:tblCellMar>
          <w:top w:w="28" w:type="dxa"/>
          <w:left w:w="28" w:type="dxa"/>
          <w:bottom w:w="28" w:type="dxa"/>
          <w:right w:w="28" w:type="dxa"/>
        </w:tblCellMar>
      </w:tblPr>
      <w:tblGrid>
        <w:gridCol w:w="516"/>
        <w:gridCol w:w="334"/>
        <w:gridCol w:w="336"/>
        <w:gridCol w:w="109"/>
        <w:gridCol w:w="109"/>
        <w:gridCol w:w="109"/>
        <w:gridCol w:w="211"/>
        <w:gridCol w:w="616"/>
        <w:gridCol w:w="271"/>
        <w:gridCol w:w="109"/>
        <w:gridCol w:w="109"/>
        <w:gridCol w:w="109"/>
        <w:gridCol w:w="211"/>
        <w:gridCol w:w="721"/>
        <w:gridCol w:w="271"/>
        <w:gridCol w:w="109"/>
        <w:gridCol w:w="109"/>
        <w:gridCol w:w="109"/>
        <w:gridCol w:w="211"/>
        <w:gridCol w:w="736"/>
        <w:gridCol w:w="271"/>
        <w:gridCol w:w="109"/>
        <w:gridCol w:w="109"/>
        <w:gridCol w:w="109"/>
        <w:gridCol w:w="211"/>
        <w:gridCol w:w="721"/>
        <w:gridCol w:w="271"/>
        <w:gridCol w:w="109"/>
        <w:gridCol w:w="109"/>
        <w:gridCol w:w="109"/>
        <w:gridCol w:w="211"/>
        <w:gridCol w:w="721"/>
        <w:gridCol w:w="271"/>
        <w:gridCol w:w="109"/>
        <w:gridCol w:w="109"/>
        <w:gridCol w:w="109"/>
        <w:gridCol w:w="211"/>
        <w:gridCol w:w="736"/>
        <w:gridCol w:w="316"/>
      </w:tblGrid>
      <w:tr>
        <w:trPr/>
        <w:tc>
          <w:tcPr>
            <w:tcW w:w="51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contracting and real estate services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(26,647)</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contracting and real estate services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gross profit in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margin</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60" w:after="283"/>
        <w:ind w:left="0" w:right="0" w:hanging="360"/>
        <w:jc w:val="left"/>
        <w:rPr/>
      </w:pPr>
      <w:r>
        <w:rPr>
          <w:rFonts w:ascii="Roboto;sans-serif" w:hAnsi="Roboto;sans-serif"/>
          <w:b w:val="false"/>
          <w:i/>
          <w:color w:val="3F3F3F"/>
          <w:sz w:val="14"/>
        </w:rPr>
        <w:t>(1)</w:t>
      </w:r>
      <w:r>
        <w:rPr>
          <w:rFonts w:ascii="Times New Roman;serif" w:hAnsi="Times New Roman;serif"/>
          <w:b w:val="false"/>
          <w:color w:val="000000"/>
          <w:sz w:val="18"/>
        </w:rPr>
        <w:t>50% of the gross profit attributable to our T. Rowe Price Global HQ project is not reflected within general contracting &amp; real estate services revenues due to elimination. For the Allied | Harbor Point development project, 77% of gross profit was eliminated through April 2025. In April 2025, the project was brought on balance sheet through consolidation and as a result, all associated revenue and cost are eliminated in consolidation. The Company remains entitled to receive cash proceeds related to the eliminated amounts. Prior to the impact of these gross profit eliminations, operating margin was 2.0% and 1.0% for the three and six months ended June 30, 2026, and 3.8% and 3.4% for the three and six months ended June 30, 2025.</w:t>
      </w:r>
    </w:p>
    <w:p>
      <w:pPr>
        <w:pStyle w:val="TextBody"/>
        <w:bidi w:val="0"/>
        <w:spacing w:before="60" w:after="283"/>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 contracting and real estate services gross profit for the three and six months ended June 30, 2026 decreased $1.3 million and $2.6 million, or 92.0% and 93.0%, respectively, compared to the three and six months ended June 30, 2025 primarily due to the reduction in revenue as third-party project backlog was completed and the sale of the general contracting and real estate services business on April 30, 2026.</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April 30, 2026, the Company completed the sale of its general contracting and real estate services business. Economic consideration for the deal of $2.4 million included assumed severance contracts with certain members of the general contracting and real estate services management, as well as GAAP consideration of a nominal amount of cash and a note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2" name="Frame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receivable recorded at fair value of $0.8 million. The Company recognized a loss on sale of approximately $2.2 million, which is included in discontinued operations.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Income from discontinued operations related to the general contracting and real estate services business was also impacted by an income tax provision of $3.0 million for the three months ended</w:t>
      </w:r>
      <w:r>
        <w:rPr>
          <w:color w:val="000000"/>
        </w:rPr>
        <w:t xml:space="preserve"> </w:t>
      </w:r>
      <w:r>
        <w:rPr>
          <w:rFonts w:ascii="Times New Roman;serif" w:hAnsi="Times New Roman;serif"/>
          <w:b w:val="false"/>
          <w:color w:val="000000"/>
          <w:sz w:val="20"/>
        </w:rPr>
        <w:t>June 30, 2026 compared to a benefit recognized in the prior year. The tax provision was primarily attributable to the sale of the general contracting and real estate services business. As a result of the disposition, it was determined that certain deferred tax assets previously expected to be realized through the future taxable income of the disposed business were no longer realizable.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third party construction backlog for the three and six months ended June 30, 2026 and 2025 were as follows (in thousands): </w:t>
      </w:r>
    </w:p>
    <w:tbl>
      <w:tblPr>
        <w:tblW w:w="10205" w:type="dxa"/>
        <w:jc w:val="left"/>
        <w:tblInd w:w="0" w:type="dxa"/>
        <w:tblLayout w:type="fixed"/>
        <w:tblCellMar>
          <w:top w:w="28" w:type="dxa"/>
          <w:left w:w="28" w:type="dxa"/>
          <w:bottom w:w="28" w:type="dxa"/>
          <w:right w:w="28" w:type="dxa"/>
        </w:tblCellMar>
      </w:tblPr>
      <w:tblGrid>
        <w:gridCol w:w="1747"/>
        <w:gridCol w:w="1523"/>
        <w:gridCol w:w="1533"/>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6"/>
      </w:tblGrid>
      <w:tr>
        <w:trPr/>
        <w:tc>
          <w:tcPr>
            <w:tcW w:w="1747"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backlog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contracts/change orders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performed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Contracts disposed as a result of the general contracting disposition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backlog</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106,562 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Multifamily Segment Data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Multifamily rental revenues, property expenses, and NOI for the six months ended June 30, 2026 and 2025 were as follows (in thousands): </w:t>
      </w:r>
    </w:p>
    <w:tbl>
      <w:tblPr>
        <w:tblW w:w="9782" w:type="dxa"/>
        <w:jc w:val="left"/>
        <w:tblInd w:w="0" w:type="dxa"/>
        <w:tblLayout w:type="fixed"/>
        <w:tblCellMar>
          <w:top w:w="28" w:type="dxa"/>
          <w:left w:w="28" w:type="dxa"/>
          <w:bottom w:w="28" w:type="dxa"/>
          <w:right w:w="28" w:type="dxa"/>
        </w:tblCellMar>
      </w:tblPr>
      <w:tblGrid>
        <w:gridCol w:w="574"/>
        <w:gridCol w:w="506"/>
        <w:gridCol w:w="509"/>
        <w:gridCol w:w="109"/>
        <w:gridCol w:w="109"/>
        <w:gridCol w:w="109"/>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11"/>
        <w:gridCol w:w="721"/>
        <w:gridCol w:w="109"/>
        <w:gridCol w:w="109"/>
        <w:gridCol w:w="109"/>
        <w:gridCol w:w="109"/>
        <w:gridCol w:w="211"/>
        <w:gridCol w:w="721"/>
        <w:gridCol w:w="109"/>
        <w:gridCol w:w="109"/>
        <w:gridCol w:w="109"/>
        <w:gridCol w:w="109"/>
        <w:gridCol w:w="211"/>
        <w:gridCol w:w="691"/>
        <w:gridCol w:w="154"/>
      </w:tblGrid>
      <w:tr>
        <w:trPr/>
        <w:tc>
          <w:tcPr>
            <w:tcW w:w="57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NOI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Multifamily segment NOI for the three and six months ended June 30, 2026 decreased $2.6 million and $1.5 million, or 33.0% and 9.0%, respectively, compared to the three and six months ended June 30, 2025. The decrease in multifamily segment NOI was due to the sale of nine multifamily properties during the quarter.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20, 2026, the Company completed the First Closing of the Multifamily Portfolio Sale for aggregate gross proceeds of $485.0 million. The Company recognized a gain of approximately $18.8 million on the sale, of which a $19.5 million gain is included in discontinued operations, and a $0.7 million loss relating to the six commercial properties sold is recorded in continuing operations. The Company used proceeds from the sale to repay or pay down approximately $265.5 million of secured debt and $195.0 million of our revolving credit facility. As a result of the extinguishment of the secured debt, the Company recognized a $2.1 million loss on extinguishment of debt, which represents the unamortized deferred financing costs and prepayment penalties related to the extinguishment.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terms of the purchase and sale agreement for the Multifamily Portfolio Sale, the contractual sales price of Greenside Apartments is $50.0 million. As a result, the Company recorded impairment of $8.7 million during the three months ended June 30, 2026.</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also executed a purchase and sale agreement on July 17, 2026 for The Everly and Solis Gainesville II. Under the terms of the purchase and sale agreement for these two assets, the contractual sale price of the two assets combined is $95.5 million. As a result, the Company recorded impairment of $12.2 million during the three months ended June 30,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Real Estate Financing Segment Data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Real estate financing interest income, interest expense, and gross profit for the three and six months ended June 30, 2026 and 2025 were as follows (in thousands):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53" name="Frame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588"/>
        <w:gridCol w:w="453"/>
        <w:gridCol w:w="457"/>
        <w:gridCol w:w="109"/>
        <w:gridCol w:w="109"/>
        <w:gridCol w:w="109"/>
        <w:gridCol w:w="211"/>
        <w:gridCol w:w="616"/>
        <w:gridCol w:w="271"/>
        <w:gridCol w:w="109"/>
        <w:gridCol w:w="109"/>
        <w:gridCol w:w="109"/>
        <w:gridCol w:w="211"/>
        <w:gridCol w:w="616"/>
        <w:gridCol w:w="271"/>
        <w:gridCol w:w="109"/>
        <w:gridCol w:w="109"/>
        <w:gridCol w:w="109"/>
        <w:gridCol w:w="211"/>
        <w:gridCol w:w="671"/>
        <w:gridCol w:w="271"/>
        <w:gridCol w:w="109"/>
        <w:gridCol w:w="109"/>
        <w:gridCol w:w="109"/>
        <w:gridCol w:w="211"/>
        <w:gridCol w:w="616"/>
        <w:gridCol w:w="271"/>
        <w:gridCol w:w="109"/>
        <w:gridCol w:w="109"/>
        <w:gridCol w:w="109"/>
        <w:gridCol w:w="211"/>
        <w:gridCol w:w="616"/>
        <w:gridCol w:w="271"/>
        <w:gridCol w:w="109"/>
        <w:gridCol w:w="109"/>
        <w:gridCol w:w="109"/>
        <w:gridCol w:w="211"/>
        <w:gridCol w:w="671"/>
        <w:gridCol w:w="318"/>
      </w:tblGrid>
      <w:tr>
        <w:trPr/>
        <w:tc>
          <w:tcPr>
            <w:tcW w:w="58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Real estate financing gross profit for the three and six months ended June 30, 2026 increased $3.0 million and $1.7 million, or 172.0% and 45.0%, respectively, compared to the three and six months ended June 30, 2025. The increase in real estate financing gross profit was primarily due to the gain on the redemption of interest in The Allure at Edinburgh of $4.9 million offset by Solis Kennesaw being placed on non-accrual status in the second quarter.</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27, 2026, we signed a purchase and sale agreement with a buyer for the disposition of the Solis North Creek and Solis Peachtree Corners real estate financing investments for a combined purchase price of $63.8 million. We used the proceeds from the sale to pay down debt. Prior to the disposition, the investments were classified as held for sale as a result of the strategic repositioning announced on February 16, 2026, and as a result, we recorded impairment of $5.4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first quarter, we reclassified the Solis Kennesaw real estate financing investment to held for sale as a result of the strategic repositioning announced on February 16, 2026 to exit the real estate financing line of business. As a result, the Company recorded impairment of $23.8 million using an approximation of fair value as a level 3 input in the fair value hierarchy.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April 30, 2026, we fully realized $17.2 million for the real estate financing investment secured by The Allure at Edinburgh and used the proceeds to repay debt.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second quarter, we received bids on the Solis Kennesaw real estate financing investment, and further recorded impairment of $13.5 million using an approximation of fair value as a level 3 input in the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Results of Discontinued Operations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Summarized results of discontinued operations for the three and six months ended June 30, 2026 and 2025 are shown below (in thousands):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54" name="Frame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664"/>
        <w:gridCol w:w="1408"/>
        <w:gridCol w:w="1415"/>
        <w:gridCol w:w="109"/>
        <w:gridCol w:w="109"/>
        <w:gridCol w:w="109"/>
        <w:gridCol w:w="211"/>
        <w:gridCol w:w="787"/>
        <w:gridCol w:w="109"/>
        <w:gridCol w:w="109"/>
        <w:gridCol w:w="109"/>
        <w:gridCol w:w="109"/>
        <w:gridCol w:w="211"/>
        <w:gridCol w:w="721"/>
        <w:gridCol w:w="109"/>
        <w:gridCol w:w="109"/>
        <w:gridCol w:w="109"/>
        <w:gridCol w:w="109"/>
        <w:gridCol w:w="211"/>
        <w:gridCol w:w="787"/>
        <w:gridCol w:w="109"/>
        <w:gridCol w:w="109"/>
        <w:gridCol w:w="109"/>
        <w:gridCol w:w="109"/>
        <w:gridCol w:w="211"/>
        <w:gridCol w:w="787"/>
        <w:gridCol w:w="157"/>
      </w:tblGrid>
      <w:tr>
        <w:trPr/>
        <w:tc>
          <w:tcPr>
            <w:tcW w:w="166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Rental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contracting and real estate services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(real estate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Rental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 estate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contracting and real estate services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(real estate financing)</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 of real estate assets</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disposition,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Non-operating income and expenses</w:t>
            </w:r>
            <w:r>
              <w:rPr>
                <w:rFonts w:ascii="Times New Roman;serif" w:hAnsi="Times New Roman;serif"/>
                <w:b w:val="false"/>
                <w:color w:val="000000"/>
                <w:sz w:val="13"/>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 from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(Loss) income from discontinued operations, net of tax</w:t>
            </w:r>
            <w:r>
              <w:rPr>
                <w:rFonts w:ascii="Times New Roman;serif" w:hAnsi="Times New Roman;serif"/>
                <w:b/>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 Interest expense within the real estate financing segment is allocated based on the average outstanding principal of notes receivable in the real estate financing portfolio, and the effective interest rate on the credit facility, the M&amp;T term loan facility, and the TD term loan facility, each as defined in Note 8.</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(2) Impairment recognized for the three months ended June 30, 2026 represents impairment of the multifamily properties Greenside Apartments, Solis Gainesville II, and The Everly, and notes receivable secured by the Solis Kennesaw real estate financing investments. Impairment recognized for the six months ended June 30, 2026 additionally includes impairment of notes receivable secured by the Solis North Creek, Solis Peachtree Corners, and Solis Kennesaw real estate financing investments. </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(3) Non-operating income and expenses includes interest income (excluding real estate financing), acquisition, development, and other pursuit costs, interest expense (excluding real estate financing), gain (loss) on consolidation of real estate entities, loss on extinguishment of debt, change in fair value of derivatives and other, equity in income of unconsolidated real estate entities, unrealized credit loss release (provision), and other income (expense), net.</w:t>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(4) Interest expense (excluding real estate financing segment) is allocated by first allocating secured debt to the relevant properties. Unsecured debt is then allocated using the total value of unencumbered income producing property, and allocated based on property classification.</w:t>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(5) The 2026 results of the general contracting and real estate services business reflect activity through April 30, 2026, the date on which the Company completed the sale of the general contracting and real estate services business. The 2026 multifamily real estate results include results for all 13 properties classified within discontinued operations through May 20, 2026, the date on which the Company completed the first closing of the Multifamily Portfolio Sale and sold 9 of the 13 properties; results after that date reflect only the remaining properties included in discontinued operations.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primary short-term liquidity requirements consist of operating expenses, and other expenditures associated with our properties, including tenant improvements, leasing commissions and leasing incentives, dividend payments to our stockholders required to maintain our REIT qualification, debt service, capital expenditures, and strategic acquisitions. We expect to meet our short-term liquidity requirements through net cash provided by operations, reserves established from existing cash, borrowings available under our credit facility (as defined below), and net proceeds from the opportunistic sale of common stock through our ATM Program, which is discussed below.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long-term liquidity needs consist primarily of funds necessary for the repayment of debt at or prior to maturity, property acquisitions, tenant improvements, and capital improvements. We expect to meet our long-term liquidity requirements with net cash from operations, long-term secured and unsecured indebtedness, the issuance of equity and debt securities, and the opportunistic disposition of non-core properties. We also may fund acquisitions and capital improvements using our credit facility pending long-term financing.</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unrestricted cash and cash equivalents of $20.7 million attributable to continuing operations available for both current liquidity needs as well as development and redevelopment activities. We also had restricted cash in escrow of $1.5 million attributable to continuing operations, some of which is available for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55" name="Frame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expenditures and certain operating expenses at our operating properties. As of June 30, 2026, we had $203.7 million of available borrowings under our revolving credit facility to meet our short-term liquidity requirements. During the three months ended June 30, 2026, we decreased outstanding borrowings on our revolving credit facility by $190.0 million from proceeds from the First Closing of the Multifamily Portfolio Sale and the redemption of The Allure at Edinburgh. Additionally, we repaid $265.5 million in secured debt using proceeds from the First Closing of the Multifamily Portfolio Sale.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2022, we began to implement a strategic transformation of the composition of borrowings by refinancing secured property debt with unsecured property debt in order to increase the flexibility of our financing cash flows. Additionally, we have begun transforming our debt portfolio from variable-rate to fixed-rate borrowings. We continued to implement this transformation during the three months ended June 30, 2026 and intend to continue to implement this transformation in the current fiscal year. As of June 30, 2026, fixed-rate debt and variable-rate debt before the impact of derivatives represented 21.3% and 78.7%, respectively, compared to 14.7% and 85.3% as of June 30, 2025. As of June 30, 2026, unsecured debt represented 69.0% of our total borrowings compared to 54.5% as of June 30, 2025. However, we intend to maintain a certain level of property secured debt as part of our risk management strategy.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the $121.8 million loan secured by the Constellation Energy Building that will mature during the remainder of 2026, for which we are in the process of refinancing.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ATM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March 10, 2020, we commenced an at-the-market continuous equity offering program (the "ATM Program") through which we may, from time to time, issue and sell shares of our common stock and shares of our 6.75% Series A Cumulative Redeemable Perpetual Preferred Stock (the "Series A Preferred Stock") having an aggregate offering price of up to $300.0 million, to or through our sales agents and, with respect to shares of our common stock, may enter into separate forward sales agreements to or through the forward purchaser. The Company's ATM Program has no expiration date.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we did not issue any shares of common stock or Series A Preferred Stock under the ATM Program. Shares having an aggregate offering price of $178.5 million remained unsold under the ATM Program as of July 31, 2026.</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Share Repurchase Program</w:t>
      </w:r>
    </w:p>
    <w:p>
      <w:pPr>
        <w:pStyle w:val="TextBody"/>
        <w:bidi w:val="0"/>
        <w:spacing w:before="0" w:after="0"/>
        <w:ind w:left="0" w:right="0" w:firstLine="720"/>
        <w:jc w:val="both"/>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15, 2023, we adopted a $50.0 million share repurchase program (the "Share Repurchase Program"). Under the Share Repurchase Program, we may repurchase shares of our common stock and Series A Preferred Stock from time to time in the open market, in block purchases, through privately negotiated transactions, the use of trading plans intended to qualify under Rule 10b5-1 under the Securities Exchange Act of 1934, as amended (the “Exchange Act”), or other means permitted. The Share Repurchase Program does not obligate us to acquire any specific number of shares or acquire shares over any specific period of time. The Share Repurchase Program may be suspended or discontinued at any time by us and does not have an expiration date.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we repurchased 5.6 million shares of common stock for a total of $33.2 million, at a weighted average price of $5.92. During the six months ended June 30, 2026, we did not repurchase any shares of Series A Preferred Stock. As of June 30, 2026, $54.1 million remained available for repurchases under the Share Repurchase Program.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Credit Facility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23, 2022, we entered into an amended and restated credit agreement (the "Credit Agreement"), which provides for a $550.0 million credit facility comprised of a $250.0 million senior unsecured revolving credit facility (the "revolving credit facility") and a $300.0 million senior unsecured term loan facility (the "term loan facility" and, together with the revolving credit facility, the "credit facility"), with a syndicate of banks. Subject to available borrowing capacity, we intend to use future borrowings under the credit facility for general corporate purposes, including funding acquisitions and redevelopment of properties in our portfolio, and for working capital.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facility includes an accordion feature that allows the total commitments to be increased to $1.0 billion, subject to certain conditions, including obtaining commitments from any one or more lenders. The revolving credit facility has a scheduled maturity date of January 22, 2027, with two six-month extension options, subject to certain conditions, including payment of a 0.075% extension fee at each extension. The term loan facility has a scheduled maturity date of January 21, 2028.</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1155"/>
                <wp:effectExtent l="0" t="0" r="0" b="0"/>
                <wp:wrapNone/>
                <wp:docPr id="56" name="Frame5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29, 2023, we increased the capacity of the revolving credit facility by $105.0 million by exercising the accordion feature in part, bringing the revolving credit facility capacity to $355.0 million and the total credit facility capacity to $655.0 million.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14, 2024, the term loan facility commitment increased to $350.0 million as a result of an existing lender increasing its outstanding commitment.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revolving credit facility bears interest at SOFR plus a margin ranging from 1.30% to 1.85% and a credit spread adjustment of 0.10%, and the term loan facility bears interest at SOFR plus a margin ranging from 1.25% to 1.80% and a credit spread adjustment of 0.10%, in each case depending on our total leverage. We also are obligated to pay an unused commitment fee of 15 or 25 basis points on the unused portions of the commitments under the revolving credit facility, depending on the amount of borrowings under the revolving credit facility. If the Company or the Operating Partnership attains investment grade credit ratings from both S&amp;P Global Ratings and Moody’s Investors Service, Inc., we may elect to have borrowings become subject to interest rates based on such credit ratings. Our unencumbered borrowing pool will support revolving borrowings of up to $224.7 million, as of June 30, 2026.</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Operating Partnership is the borrower under the credit facility, and its obligations under the credit facility are guaranteed by us and certain of our subsidiaries that are not otherwise prohibited from providing such guaranty.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customary representations and warranties and financial and other affirmative and negative covenants. Our ability to borrow under the credit facility is subject to our ongoing compliance with a number of financial covenants, affirmative covenants and other restrictions,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leverage ratio of not more than 60% (or 65% for the two consecutive quarters following any acquisition with a purchase price of at least $100.0 million, but only up to two times during the term of the credit facility);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Ratio of adjusted EBITDA (as defined in the Credit Agreement) to fixed charges of not less than 1.50 to 1.0;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Tangible net worth of not less than the sum of (i) $825.2 million and (ii) an amount equal to 75% of the net equity proceeds received by us after June 30, 2022;</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Ratio of secured indebtedness (excluding the credit facility if it becomes secured indebtedness) to total asset value of not more than 40%;</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Ratio of secured recourse debt (excluding the credit facility if it becomes secured indebtedness) to total asset value of not more than 20%;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unsecured leverage ratio of not more than 60% (or 65% for the two consecutive quarters following any acquisition with a purchase price of at least $100.0 million, but only up to two times during the term of the credit facility);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Unencumbered interest coverage ratio (as defined in the Credit Agreement) of not less than 1.75 to 1.0;</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Maintenance of a minimum of at least 15 unencumbered properties (as defined in the Credit Agreement) with an unencumbered asset value (as defined in the Credit Agreement) of not less than $500.0 million at any time;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Minimum occupancy rate (as defined in the Credit Agreement) for all unencumbered properties of not less than 80% at any time.</w:t>
      </w:r>
    </w:p>
    <w:p>
      <w:pPr>
        <w:pStyle w:val="TextBody"/>
        <w:bidi w:val="0"/>
        <w:spacing w:before="0" w:after="0"/>
        <w:ind w:left="0" w:right="0" w:hanging="36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limits our ability to pay cash dividends if a default has occurred and is continuing or would result therefrom. However, if certain defaults or events of default exist, we may pay cash dividends to the extent necessary to (i) maintain our status as a REIT and (ii) avoid federal or state income excise taxes. The Credit Agreement also restricts the amount of capital that we can invest in specific categories of assets, such as unimproved land holdings, development properties, notes receivable, mortgages, mezzanine loans, and unconsolidated affiliates, and restricts our ability to repurchase stock and OP Units during the term of the credit facility.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at any time, voluntarily prepay any loan under the credit facility in whole or in part without significant premium or penalty, except for those portions subject to an interest rate swap agreement.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Agreement includes customary events of default, in certain cases subject to customary periods to cure. The occurrence of an event of default, following the applicable cure period, would permit the lenders to, among other things, declare the unpaid principal, accrued and unpaid interest, and all other amounts payable under the credit facility to be immediately due and payable.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currently in the process of recasting the credit facility, to include the M&amp;T term loan facility and TD term loan facility as described below. Management is working with its lending group to finalize the revised financing arrangements and currently expects the recasting process to be completed by the end of 2026. The proposed recasting is intended to simplify our capital structure and extend maturities. While the definitive terms remain subject to negotiation and execution of final agreements, we expect the recast facility to continue to provide sufficient liquidity and financial flexibility to support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7" name="Frame5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investing, and financing activities, and the terms and covenants are expected to be materially similar to the current facility. Until the recasting is completed, the existing credit agreements remain in effect. We do not anticipate any disruption to our access to credit or our ability to meet our short-term or long-term liquidity requirements during the transition process. However, we can provide no assurances that the recasting will be completed on the timeline or terms currently anticipated, or at all.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M&amp;T Term Loan Facility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6, 2022, we entered into a term loan agreement (the "M&amp;T term loan agreement") with Manufacturers and Traders Trust Company, which provides a $100.0 million senior unsecured term loan facility (the "M&amp;T term loan facility"), with the option to increase the total capacity to $200.0 million, subject to our satisfaction of certain conditions. The M&amp;T term loan facility has a scheduled maturity date of March 8, 2027, with a one-year extension option, subject to our satisfaction of certain conditions, including payment of a 0.075% extension fee.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21, 2024, the M&amp;T term loan facility commitment increased to $135.0 million as a result of adding a new lender to the facility.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M&amp;T term loan facility bears interest at a rate elected by us based on term SOFR, Daily Simple SOFR, or the Base Rate (as defined below), and in each case plus a margin. A term SOFR or Daily Simple SOFR loan is also subject to a credit spread adjustment of 0.10%. The margin under each interest rate election depends on our total leverage. The "Base Rate" is equal to the highest of: (a) the rate of interest in effect for such day as publicly announced from time to time by M&amp;T Bank as its “prime rate” for such day, (b) the Federal Funds Rate for such day, plus 0.50%, (c) one month term SOFR for such day plus 100 basis points and (d) 1.00%. We have elected for the loan to bear interest at term SOFR plus margin. If we attain investment grade credit ratings from both S&amp;P Global Ratings and Moody's Investor Service, Inc., we may elect to have borrowings become subject to interest rates based on such credit ratings.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Operating Partnership is the borrower under the M&amp;T term loan facility, and its obligations under the M&amp;T term loan facility are guaranteed by us and certain of its subsidiaries that are not otherwise prohibited from providing such guaranty.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M&amp;T term loan agreement contains customary representations and warranties and financial and other affirmative and negative covenants. Our ability to borrow under the M&amp;T term loan facility is subject to ongoing compliance with a number of financial covenants, affirmative covenants, and other restrictions, including the following: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leverage ratio of not more than 60% (or 65% for the two consecutive quarters following any acquisition with a purchase price of at least $100.0 million, but only up to two times during the term of the M&amp;T term loan facility);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Ratio of adjusted EBITDA (as defined in the M&amp;T term loan agreement) to fixed charges of not less than 1.50 to 1.0;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Tangible net worth of not less than the sum of (i) $825.2 million and (ii) an amount equal to 75% of the net equity proceeds received by us after June 30, 2022;</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Ratio of secured indebtedness (excluding the M&amp;T term loan facility if it becomes secured indebtedness) to total asset value of not more than 40%;</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Ratio of secured recourse debt (excluding the M&amp;T term loan facility if it becomes secured indebtedness) to total asset value of not more than 20%;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unsecured leverage ratio of not more than 60% (or 65% for the two consecutive quarters following any acquisition with a purchase price of at least $100.0 million, but only up to two times during the term of the M&amp;T term loan facility);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Unencumbered interest coverage ratio (as defined in the M&amp;T term loan agreement) of not less than 1.75 to 1.0;</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Maintenance of a minimum of at least 15 unencumbered properties (as defined in the M&amp;T term loan agreement) with an unencumbered asset value (as defined in the M&amp;T term loan agreement) of not less than $500.0 million at any time;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Minimum occupancy rate (as defined in the M&amp;T term loan agreement) for all unencumbered properties of not less than 80% at any time.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M&amp;T term loan agreement limits our ability to pay cash dividends if a default has occurred and is continuing or would result therefrom. However, if certain defaults or events of default exist, we may pay cash dividends to the extent necessary to (i) maintain our status as a REIT and (ii) avoid federal or state income excise taxes. The M&amp;T term loan agreement also restricts the amount of capital that we can invest in specific categories of assets, such as unimproved land holdings, development properties, notes receivable, mortgages, mezzanine loans and unconsolidated affiliates, and restricts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1155"/>
                <wp:effectExtent l="0" t="0" r="0" b="0"/>
                <wp:wrapNone/>
                <wp:docPr id="58" name="Frame5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stock and OP Units during the term of the M&amp;T term loan 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at any time, voluntarily prepay the M&amp;T term loan facility in whole or in part without premium or penalty, provided certain conditions are met.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M&amp;T term loan agreement includes customary events of default, in certain cases subject to customary cure periods. The occurrence of an event of default, if not cured within the applicable cure period, would permit the lenders to, among other things, declare the unpaid principal, accrued and unpaid interest, and all other amounts payable under the M&amp;T term loan facility to be immediately due and payable. A default under the Credit Agreement would also constitute a default under the M&amp;T term loan agreement.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TD Term Loan Facility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May 19, 2023, we entered into a term loan agreement (the "TD term loan agreement") with Toronto Dominion (Texas) LLC, as administrative agent, and TD Bank, N.A. as lender, which provides a $75.0 million senior unsecured term loan facility (the "TD term loan facility"), with the option to increase the total capacity to $150.0 million, subject to our satisfaction of certain conditions.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26, 2025, we exercised our option to extend the maturity date of the TD term loan facility by one year to May 19, 2026. We paid a nominal extension fee.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May 14, 2026, we executed a 12-month extension on the TD Term Loan, extending the loan maturity to May 19, 2027. We paid a nominal extension fee.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TD term loan facility bears interest at a rate elected by us based on term SOFR, Daily Simple SOFR, or the Base Rate (as defined below), and in each case plus a margin. A term SOFR or Daily Simple SOFR loan is also subject to a credit spread adjustment of 0.10%. The margin under each interest rate election depends on our total leverage. The "Base Rate" is equal to the highest of: (a) the Federal Funds Rate for such day, plus 0.50% (b) the rate of interest in effect for such day as publicly announced from time to time by the administrative agent as its “prime rate” for such day, (c) one month term SOFR for such day plus 100 basis points and (d) 1.00%. We have elected for the loan to bear interest at term SOFR plus margin. If we attain investment grade credit ratings from both S&amp;P Global Ratings and Moody's Investor Service, Inc., we may elect to have borrowings become subject to interest rates based on such credit ratings.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29, 2023, the TD term loan facility commitment increased to $95.0 million as a result of the addition of a second lender to the 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Operating Partnership is the borrower under the TD term loan facility, and its obligations under the TD term loan facility are guaranteed by us and certain of its subsidiaries that are not otherwise prohibited from providing such guaranty.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TD term loan agreement contains customary representations and warranties and financial and other affirmative and negative covenants. Our ability to borrow under the TD term loan facility is subject to ongoing compliance with a number of financial covenants, affirmative covenants, and other restrictions, including the following: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leverage ratio of not more than 60% (or 65% for the two consecutive quarters following any acquisition with a purchase price of at least $100.0 million, but only up to two times during the term of the TD term loan facility);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Ratio of adjusted EBITDA (as defined in the TD term loan agreement) to fixed charges of not less than 1.50 to 1.0;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Tangible net worth of not less than the sum of (i) $825.2 million and (ii) an amount equal to 75% of the net equity proceeds received by us after June 30, 2022;</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Ratio of secured indebtedness (excluding the TD term loan facility if it becomes secured indebtedness) to total asset value of not more than 40%;</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Ratio of secured recourse debt (excluding the TD term loan facility if it becomes secured indebtedness) to total asset value of not more than 20%;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unsecured leverage ratio of not more than 60% (or 65% for the two consecutive quarters following any acquisition with a purchase price of at least $100.0 million, but only up to two times during the term of the TD term loan facility);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Unencumbered interest coverage ratio (as defined in the TD term loan agreement) of not less than 1.75 to 1.0;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1155"/>
                <wp:effectExtent l="0" t="0" r="0" b="0"/>
                <wp:wrapNone/>
                <wp:docPr id="59" name="Frame5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Maintenance of a minimum of at least 15 unencumbered properties (as defined in the TD term loan agreement) with an unencumbered asset value (as defined in the TD term loan agreement) of not less than $500.0 million at any time;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Minimum occupancy rate (as defined in the TD term loan agreement) for all unencumbered properties of not less than 80% at any time.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TD term loan agreement limits our ability to pay cash dividends if a default has occurred and is continuing or would result therefrom. However, if certain defaults or events of default exist, we may pay cash dividends to the extent necessary to (i) maintain our status as a REIT and (ii) avoid federal or state income excise taxes. The TD term loan agreement also restricts the amount of capital that we can invest in specific categories of assets, such as unimproved land holdings, development properties, notes receivable, mortgages, mezzanine loans and unconsolidated affiliates, and restricts our ability to repurchase stock and OP Units during the term of the TD term loan facility.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at any time, voluntarily prepay the TD term loan facility in whole or in part without premium or penalty, provided certain conditions are met.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TD term loan agreement includes customary events of default, in certain cases subject to customary cure periods. The occurrence of an event of default, if not cured within the applicable cure period, would permit the lenders to, among other things, declare the unpaid principal, accrued and unpaid interest, and all other amounts payable under the TD term loan facility to be immediately due and payable. A default under the Credit Agreement would also constitute a default under the TD term loan agreement.</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Private Placement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22, 2025, we and the Operating Partnership entered into a note purchase agreement (the “Note Purchase Agreement”) with institutional investors pursuant to which the Operating Partnership sold, and the institutional investors purchased, $115.0 million aggregate principal amount of unsecured notes, consisting of (a) $25.0 million aggregate principal amount of 5.57% Senior Notes, Series A, due July 22, 2028, (b) $45.0 million aggregate principal amount of 5.78% Senior Notes, Series B, due July 22, 2030, and (c) $45.0 million aggregate principal amount of 6.09% Senior Notes, Series C, due July 22, 2032 (collectively, the "Notes").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Notes bear interest on the outstanding principal balance at the stated rates per annum from the date of issuance, payable semiannually on January 22 and July 22 of each year, commencing January 22, 2026 until such principal becomes due and payable. The Notes are the senior unsecured obligations of the Operating Partnership and rank at least pari passu in right of payment with all other unsecured senior indebtedness of the Operating Partnership. The Operating Partnership’s obligations under the Notes are guaranteed by us and certain of our subsidiaries that are not otherwise prohibited from providing such guaranty.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Note Purchase Agreement contains customary representations and warranties. Under the Note Purchase Agreement, we are also subject to a number of financial covenants, affirmative covenants, and other restrictions, including the following, which are subject to a “most favored lender” provision, which automatically incorporates any changes to corresponding covenants under the Credit Agreement into the Note Purchase Agreement:</w:t>
      </w:r>
    </w:p>
    <w:p>
      <w:pPr>
        <w:pStyle w:val="TextBody"/>
        <w:bidi w:val="0"/>
        <w:spacing w:before="0" w:after="0"/>
        <w:jc w:val="left"/>
        <w:rPr/>
      </w:pPr>
      <w:r>
        <w:rPr/>
      </w:r>
    </w:p>
    <w:p>
      <w:pPr>
        <w:pStyle w:val="TextBody"/>
        <w:bidi w:val="0"/>
        <w:spacing w:lineRule="auto" w:line="300" w:before="0" w:after="0"/>
        <w:ind w:left="0" w:right="0" w:hanging="360"/>
        <w:jc w:val="left"/>
        <w:rPr/>
      </w:pPr>
      <w:r>
        <w:rPr>
          <w:color w:val="000000"/>
        </w:rPr>
        <w:t>•</w:t>
      </w:r>
      <w:r>
        <w:rPr>
          <w:rFonts w:ascii="Times New Roman;serif" w:hAnsi="Times New Roman;serif"/>
          <w:b w:val="false"/>
          <w:color w:val="000000"/>
          <w:sz w:val="20"/>
        </w:rPr>
        <w:t>Ratio of Secured Recourse Debt (as defined in the Note Purchase Agreement), excluding the Notes if they become Secured Indebtedness (as defined in the Note Purchase Agreement)), to total asset value of not more than 20%;</w:t>
      </w:r>
    </w:p>
    <w:p>
      <w:pPr>
        <w:pStyle w:val="TextBody"/>
        <w:bidi w:val="0"/>
        <w:spacing w:lineRule="auto" w:line="300" w:before="0" w:after="0"/>
        <w:ind w:left="0" w:right="0" w:hanging="360"/>
        <w:jc w:val="left"/>
        <w:rPr/>
      </w:pPr>
      <w:r>
        <w:rPr>
          <w:color w:val="000000"/>
        </w:rPr>
        <w:t>•</w:t>
      </w:r>
      <w:r>
        <w:rPr>
          <w:rFonts w:ascii="Times New Roman;serif" w:hAnsi="Times New Roman;serif"/>
          <w:b w:val="false"/>
          <w:color w:val="000000"/>
          <w:sz w:val="20"/>
        </w:rPr>
        <w:t>Maintenance of a minimum of at least 15 Unencumbered Properties (as defined in the Note Purchase Agreement) with an Unencumbered Asset Value (as defined in the Note Purchase Agreement) of not less than $500.0 million at any time;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Minimum Occupancy Rate (as defined in the Note Purchase Agreement) for all Unencumbered Properties of not less than 80% at any time.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financial covenants are not subject to the most favored lender provision:</w:t>
      </w:r>
    </w:p>
    <w:p>
      <w:pPr>
        <w:pStyle w:val="TextBody"/>
        <w:bidi w:val="0"/>
        <w:spacing w:before="0" w:after="0"/>
        <w:jc w:val="left"/>
        <w:rPr/>
      </w:pPr>
      <w:r>
        <w:rPr/>
      </w:r>
    </w:p>
    <w:p>
      <w:pPr>
        <w:pStyle w:val="TextBody"/>
        <w:bidi w:val="0"/>
        <w:spacing w:lineRule="auto" w:line="300" w:before="0" w:after="0"/>
        <w:ind w:left="0" w:right="0" w:hanging="360"/>
        <w:jc w:val="left"/>
        <w:rPr/>
      </w:pPr>
      <w:r>
        <w:rPr>
          <w:color w:val="000000"/>
        </w:rPr>
        <w:t>•</w:t>
      </w:r>
      <w:r>
        <w:rPr>
          <w:rFonts w:ascii="Times New Roman;serif" w:hAnsi="Times New Roman;serif"/>
          <w:b w:val="false"/>
          <w:color w:val="000000"/>
          <w:sz w:val="20"/>
        </w:rPr>
        <w:t>Total leverage ratio of not more than 60% (or 65% for the two consecutive quarters following any acquisition with a purchase price of at least $100.0 million, but only up to two times during the term of the Note Purchase Agreement;</w:t>
      </w:r>
    </w:p>
    <w:p>
      <w:pPr>
        <w:pStyle w:val="TextBody"/>
        <w:bidi w:val="0"/>
        <w:spacing w:lineRule="auto" w:line="300" w:before="0" w:after="0"/>
        <w:ind w:left="0" w:right="0" w:hanging="360"/>
        <w:jc w:val="left"/>
        <w:rPr/>
      </w:pPr>
      <w:r>
        <w:rPr>
          <w:color w:val="000000"/>
        </w:rPr>
        <w:t>•</w:t>
      </w:r>
      <w:r>
        <w:rPr>
          <w:rFonts w:ascii="Times New Roman;serif" w:hAnsi="Times New Roman;serif"/>
          <w:b w:val="false"/>
          <w:color w:val="000000"/>
          <w:sz w:val="20"/>
        </w:rPr>
        <w:t>Ratio of adjusted EBITDA (as defined in the Note Purchase Agreement) to Fixed Charges (as defined in the Note Purchase Agreement) of not less than 1.5 to 1.0;</w:t>
      </w:r>
    </w:p>
    <w:p>
      <w:pPr>
        <w:pStyle w:val="TextBody"/>
        <w:bidi w:val="0"/>
        <w:spacing w:lineRule="auto" w:line="300" w:before="0" w:after="0"/>
        <w:ind w:left="0" w:right="0" w:hanging="360"/>
        <w:jc w:val="left"/>
        <w:rPr/>
      </w:pPr>
      <w:r>
        <w:rPr>
          <w:color w:val="000000"/>
        </w:rPr>
        <w:t>•</w:t>
      </w:r>
      <w:r>
        <w:rPr>
          <w:rFonts w:ascii="Times New Roman;serif" w:hAnsi="Times New Roman;serif"/>
          <w:b w:val="false"/>
          <w:color w:val="000000"/>
          <w:sz w:val="20"/>
        </w:rPr>
        <w:t>Tangible Net Worth (as defined in the Purchase Agreement) of not less than the sum of (i) $825.2 million and (ii) an amount equal to 75% of the net equity proceeds received by us after June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1155"/>
                <wp:effectExtent l="0" t="0" r="0" b="0"/>
                <wp:wrapNone/>
                <wp:docPr id="60" name="Frame6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0"/>
        <w:ind w:left="0" w:right="0" w:hanging="360"/>
        <w:jc w:val="left"/>
        <w:rPr/>
      </w:pPr>
      <w:r>
        <w:rPr>
          <w:color w:val="000000"/>
        </w:rPr>
        <w:t>•</w:t>
      </w:r>
      <w:r>
        <w:rPr>
          <w:rFonts w:ascii="Times New Roman;serif" w:hAnsi="Times New Roman;serif"/>
          <w:b w:val="false"/>
          <w:color w:val="000000"/>
          <w:sz w:val="20"/>
        </w:rPr>
        <w:t>Ratio of Secured Indebtedness, excluding the Notes if they become Secured Indebtedness, to total asset value of not more than 40%;</w:t>
      </w:r>
    </w:p>
    <w:p>
      <w:pPr>
        <w:pStyle w:val="TextBody"/>
        <w:bidi w:val="0"/>
        <w:spacing w:lineRule="auto" w:line="300" w:before="0" w:after="0"/>
        <w:ind w:left="0" w:right="0" w:hanging="360"/>
        <w:jc w:val="left"/>
        <w:rPr/>
      </w:pPr>
      <w:r>
        <w:rPr>
          <w:color w:val="000000"/>
        </w:rPr>
        <w:t>•</w:t>
      </w:r>
      <w:r>
        <w:rPr>
          <w:rFonts w:ascii="Times New Roman;serif" w:hAnsi="Times New Roman;serif"/>
          <w:b w:val="false"/>
          <w:color w:val="000000"/>
          <w:sz w:val="20"/>
        </w:rPr>
        <w:t>Total Unsecured Leverage Ratio (as defined in the Note Purchase Agreement) of not more than 60% (or 65% for the two consecutive quarters following any acquisition with a purchase price of at least $100.0 million, but only up to two times during the term of the Note Purchase Agreement);</w:t>
      </w:r>
    </w:p>
    <w:p>
      <w:pPr>
        <w:pStyle w:val="TextBody"/>
        <w:bidi w:val="0"/>
        <w:spacing w:lineRule="auto" w:line="300" w:before="0" w:after="0"/>
        <w:ind w:left="0" w:right="0" w:hanging="360"/>
        <w:jc w:val="left"/>
        <w:rPr/>
      </w:pPr>
      <w:r>
        <w:rPr>
          <w:color w:val="000000"/>
        </w:rPr>
        <w:t>•</w:t>
      </w:r>
      <w:r>
        <w:rPr>
          <w:rFonts w:ascii="Times New Roman;serif" w:hAnsi="Times New Roman;serif"/>
          <w:b w:val="false"/>
          <w:color w:val="000000"/>
          <w:sz w:val="20"/>
        </w:rPr>
        <w:t>Unencumbered Interest Coverage Ratio (as defined in the Note Purchase Agreement) of not less than 1.75 to 1.0;</w:t>
      </w:r>
    </w:p>
    <w:p>
      <w:pPr>
        <w:pStyle w:val="TextBody"/>
        <w:bidi w:val="0"/>
        <w:spacing w:before="0" w:after="0"/>
        <w:jc w:val="left"/>
        <w:rPr/>
      </w:pPr>
      <w:r>
        <w:rPr/>
      </w:r>
    </w:p>
    <w:p>
      <w:pPr>
        <w:pStyle w:val="TextBody"/>
        <w:bidi w:val="0"/>
        <w:spacing w:lineRule="auto" w:line="30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Note Purchase Agreement also restricts the amount of capital that we can invest in specific categories of assets, such as unimproved land holdings, development properties, notes receivable, mortgages, mezzanine loans and unconsolidated affiliates while the Notes are outstanding.</w:t>
      </w:r>
    </w:p>
    <w:p>
      <w:pPr>
        <w:pStyle w:val="TextBody"/>
        <w:bidi w:val="0"/>
        <w:spacing w:before="0" w:after="0"/>
        <w:jc w:val="left"/>
        <w:rPr/>
      </w:pPr>
      <w:r>
        <w:rPr/>
      </w:r>
    </w:p>
    <w:p>
      <w:pPr>
        <w:pStyle w:val="TextBody"/>
        <w:bidi w:val="0"/>
        <w:spacing w:lineRule="auto" w:line="30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at any time, voluntarily prepay all of, or from time to time any part of, any series of the Notes in an amount not less than 5% of the aggregate principal amount of such series of the Notes then outstanding in the case of a partial prepayment, at 100% of the principal amount so prepaid, plus the applicable Make</w:t>
        <w:noBreakHyphen/>
        <w:t>Whole Amount (as defined in the Note Purchase Agreement), which will be calculated based on the prepayment date with respect to such principal amount, as set forth in the Note Purchase Agreement.</w:t>
      </w:r>
    </w:p>
    <w:p>
      <w:pPr>
        <w:pStyle w:val="TextBody"/>
        <w:bidi w:val="0"/>
        <w:spacing w:before="0" w:after="0"/>
        <w:jc w:val="left"/>
        <w:rPr/>
      </w:pPr>
      <w:r>
        <w:rPr/>
      </w:r>
    </w:p>
    <w:p>
      <w:pPr>
        <w:pStyle w:val="TextBody"/>
        <w:bidi w:val="0"/>
        <w:spacing w:lineRule="auto" w:line="30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Note Purchase Agreement includes customary events of default, including but not limited to non-payment, breach of covenants, representations or warranties, cross defaults, bankruptcy or other insolvency events, judgments, Employee Retirement Income Security Act 1974 (ERISA) events, and if any guarantee ceases to be in full force and effect. In certain cases, the events of default are subject to customary periods to cure. The occurrence of an event of default, following the applicable cure period, would permit holders of more than 50% in aggregate principal amount of the Notes to, among other things, declare the unpaid principal, accrued and unpaid interest, and all other amounts payable under the Notes to be immediately due and payable.</w:t>
      </w:r>
    </w:p>
    <w:p>
      <w:pPr>
        <w:pStyle w:val="TextBody"/>
        <w:bidi w:val="0"/>
        <w:spacing w:before="0" w:after="0"/>
        <w:ind w:left="0" w:right="0" w:firstLine="720"/>
        <w:jc w:val="left"/>
        <w:rPr/>
      </w:pPr>
      <w:r>
        <w:rPr/>
      </w:r>
    </w:p>
    <w:p>
      <w:pPr>
        <w:pStyle w:val="TextBody"/>
        <w:bidi w:val="0"/>
        <w:spacing w:lineRule="auto" w:line="300"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currently in compliance with all covenants under the Credit Agreement, the M&amp;T term loan agreement, the TD term loan agreement, and the Note Purchase Agreement, all of which are substantially similar.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1155"/>
                <wp:effectExtent l="0" t="0" r="0" b="0"/>
                <wp:wrapNone/>
                <wp:docPr id="61" name="Frame6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Consolidated Indebtedness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indebtedness as of June 30, 2026 ($ in thousands):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02"/>
        <w:gridCol w:w="578"/>
        <w:gridCol w:w="534"/>
        <w:gridCol w:w="109"/>
        <w:gridCol w:w="109"/>
        <w:gridCol w:w="109"/>
        <w:gridCol w:w="213"/>
        <w:gridCol w:w="967"/>
        <w:gridCol w:w="118"/>
        <w:gridCol w:w="109"/>
        <w:gridCol w:w="109"/>
        <w:gridCol w:w="109"/>
        <w:gridCol w:w="177"/>
        <w:gridCol w:w="177"/>
        <w:gridCol w:w="178"/>
        <w:gridCol w:w="255"/>
        <w:gridCol w:w="255"/>
        <w:gridCol w:w="305"/>
        <w:gridCol w:w="109"/>
        <w:gridCol w:w="109"/>
        <w:gridCol w:w="109"/>
        <w:gridCol w:w="420"/>
        <w:gridCol w:w="420"/>
        <w:gridCol w:w="929"/>
        <w:gridCol w:w="109"/>
        <w:gridCol w:w="109"/>
        <w:gridCol w:w="109"/>
        <w:gridCol w:w="372"/>
        <w:gridCol w:w="315"/>
        <w:gridCol w:w="317"/>
        <w:gridCol w:w="109"/>
        <w:gridCol w:w="109"/>
        <w:gridCol w:w="109"/>
        <w:gridCol w:w="210"/>
        <w:gridCol w:w="953"/>
        <w:gridCol w:w="175"/>
      </w:tblGrid>
      <w:tr>
        <w:trPr/>
        <w:tc>
          <w:tcPr>
            <w:tcW w:w="70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Interest Rate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Rate for Variable-Rate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Maturity Date</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 Maturity</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Secured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Constellation Energy Building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November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121,800 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The Everly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0"/>
              </w:rPr>
            </w:pPr>
            <w:r>
              <w:rPr>
                <w:rFonts w:ascii="Arial;sans-serif" w:hAnsi="Arial;sans-serif"/>
                <w:b w:val="false"/>
                <w:color w:val="000000"/>
                <w:sz w:val="10"/>
              </w:rPr>
              <w:t>(3)</w:t>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5.15 </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March 17,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28,000</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Greenbrier Square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October 10,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18,049</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Lexington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September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12,106</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Red Mill North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4.73 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31,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3,333</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Premier Apartments and Retail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0"/>
              </w:rPr>
            </w:pPr>
            <w:r>
              <w:rPr>
                <w:rFonts w:ascii="Arial;sans-serif" w:hAnsi="Arial;sans-serif"/>
                <w:b w:val="false"/>
                <w:color w:val="000000"/>
                <w:sz w:val="10"/>
              </w:rPr>
              <w:t>(3)</w:t>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29,415</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Greenside Apartments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Arial;sans-serif" w:hAnsi="Arial;sans-serif"/>
                <w:b w:val="false"/>
                <w:color w:val="000000"/>
                <w:sz w:val="10"/>
              </w:rPr>
            </w:pPr>
            <w:r>
              <w:rPr>
                <w:rFonts w:ascii="Arial;sans-serif" w:hAnsi="Arial;sans-serif"/>
                <w:b w:val="false"/>
                <w:color w:val="000000"/>
                <w:sz w:val="10"/>
              </w:rPr>
              <w:t>(3)</w:t>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December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26,320</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Thames Street Wharf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1"/>
              </w:rPr>
            </w:pPr>
            <w:r>
              <w:rPr>
                <w:rFonts w:ascii="Times New Roman;serif" w:hAnsi="Times New Roman;serif"/>
                <w:b w:val="false"/>
                <w:color w:val="000000"/>
                <w:sz w:val="11"/>
              </w:rPr>
              <w:t>(4)</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September 30,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58,414</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Smith's Landing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June 1, 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 Secured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321,085</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298,077</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Unsecured 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1.30% - 1.85%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January 22,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M&amp;T Unsecured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1.25% - 1.80%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March 6,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M&amp;T Unsecured Term Loan (Fixed)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1.25% - 1.80%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5.05 </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1"/>
              </w:rPr>
            </w:pPr>
            <w:r>
              <w:rPr>
                <w:rFonts w:ascii="Times New Roman;serif" w:hAnsi="Times New Roman;serif"/>
                <w:b w:val="false"/>
                <w:color w:val="000000"/>
                <w:sz w:val="11"/>
              </w:rPr>
              <w:t>(4)</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March 6,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TD Unsecured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1.35% - 1.90%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May 19, 2027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1"/>
              </w:rPr>
            </w:pPr>
            <w:r>
              <w:rPr>
                <w:rFonts w:ascii="Times New Roman;serif" w:hAnsi="Times New Roman;serif"/>
                <w:b w:val="false"/>
                <w:color w:val="000000"/>
                <w:sz w:val="11"/>
              </w:rPr>
              <w:t>(5)</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95,000 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Unsecured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1.25% - 1.80%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January 21,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Unsecured Term Loan (Fixed)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SOFR+</w:t>
            </w:r>
          </w:p>
        </w:tc>
        <w:tc>
          <w:tcPr>
            <w:tcW w:w="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6"/>
              </w:rPr>
            </w:pPr>
            <w:r>
              <w:rPr>
                <w:rFonts w:ascii="Times New Roman;serif" w:hAnsi="Times New Roman;serif"/>
                <w:b w:val="false"/>
                <w:color w:val="000000"/>
                <w:sz w:val="16"/>
              </w:rPr>
              <w:t>1.25% - 1.80%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4.98 </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1"/>
              </w:rPr>
            </w:pPr>
            <w:r>
              <w:rPr>
                <w:rFonts w:ascii="Times New Roman;serif" w:hAnsi="Times New Roman;serif"/>
                <w:b w:val="false"/>
                <w:color w:val="000000"/>
                <w:sz w:val="11"/>
              </w:rPr>
              <w:t>(4)</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January 21,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Notes, Series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July 22,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Notes, Series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5.78 </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July 22,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Notes, Series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July 22,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 Unsecured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716,000</w:t>
            </w:r>
            <w:r>
              <w:rPr>
                <w:color w:val="000000"/>
              </w:rPr>
              <w:t>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716,000</w:t>
            </w:r>
            <w:r>
              <w:rPr>
                <w:color w:val="000000"/>
              </w:rPr>
              <w:t>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Principal Balances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1,037,085</w:t>
            </w: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1,014,077</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Unamortized 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Loans reclassified to liabilities of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Indebtedness,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955,862</w:t>
            </w: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 SOFR is determined by individual lenders.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 Does not reflect the effect of any maturity extension options.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 Debt attributable to assets under purchase and sale agreements, expected to be repaid utilizing proceeds from the sale.</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 Includes debt subject to interest rate swap locks.</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(5) Effective May 14, 2026, we executed a 12-month extension on this loan.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were in compliance with all loan covenants on our outstanding indebtedness.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our scheduled principal payments and maturities during each of the next five years and thereafter are as follows ($ in thousands): </w:t>
      </w:r>
    </w:p>
    <w:tbl>
      <w:tblPr>
        <w:tblW w:w="8022" w:type="dxa"/>
        <w:jc w:val="left"/>
        <w:tblInd w:w="0" w:type="dxa"/>
        <w:tblLayout w:type="fixed"/>
        <w:tblCellMar>
          <w:top w:w="28" w:type="dxa"/>
          <w:left w:w="28" w:type="dxa"/>
          <w:bottom w:w="28" w:type="dxa"/>
          <w:right w:w="28" w:type="dxa"/>
        </w:tblCellMar>
      </w:tblPr>
      <w:tblGrid>
        <w:gridCol w:w="829"/>
        <w:gridCol w:w="726"/>
        <w:gridCol w:w="726"/>
        <w:gridCol w:w="726"/>
        <w:gridCol w:w="726"/>
        <w:gridCol w:w="749"/>
        <w:gridCol w:w="109"/>
        <w:gridCol w:w="109"/>
        <w:gridCol w:w="109"/>
        <w:gridCol w:w="211"/>
        <w:gridCol w:w="976"/>
        <w:gridCol w:w="109"/>
        <w:gridCol w:w="109"/>
        <w:gridCol w:w="109"/>
        <w:gridCol w:w="109"/>
        <w:gridCol w:w="324"/>
        <w:gridCol w:w="324"/>
        <w:gridCol w:w="942"/>
      </w:tblGrid>
      <w:tr>
        <w:trPr/>
        <w:tc>
          <w:tcPr>
            <w:tcW w:w="82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4482"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Year</w:t>
            </w:r>
            <w:r>
              <w:rPr>
                <w:rFonts w:ascii="Times New Roman;serif" w:hAnsi="Times New Roman;serif"/>
                <w:b/>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of Total</w:t>
            </w:r>
          </w:p>
        </w:tc>
      </w:tr>
      <w:tr>
        <w:trPr/>
        <w:tc>
          <w:tcPr>
            <w:tcW w:w="448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(excluding the 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2027</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2028</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Does not reflect the effect of any maturity extension options.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Includes debt incurred in connection with the development of properties.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 We are currently in the process of recasting the credit facility, M&amp;T term loan facility, and TD term loan facility.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1155"/>
                <wp:effectExtent l="0" t="0" r="0" b="0"/>
                <wp:wrapNone/>
                <wp:docPr id="62" name="Frame6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Interest Rate Derivatives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we held the following interest rate swap agreements ($ in thousands):</w:t>
      </w:r>
    </w:p>
    <w:tbl>
      <w:tblPr>
        <w:tblW w:w="10205" w:type="dxa"/>
        <w:jc w:val="left"/>
        <w:tblInd w:w="0" w:type="dxa"/>
        <w:tblLayout w:type="fixed"/>
        <w:tblCellMar>
          <w:top w:w="28" w:type="dxa"/>
          <w:left w:w="28" w:type="dxa"/>
          <w:bottom w:w="28" w:type="dxa"/>
          <w:right w:w="28" w:type="dxa"/>
        </w:tblCellMar>
      </w:tblPr>
      <w:tblGrid>
        <w:gridCol w:w="878"/>
        <w:gridCol w:w="582"/>
        <w:gridCol w:w="584"/>
        <w:gridCol w:w="109"/>
        <w:gridCol w:w="109"/>
        <w:gridCol w:w="109"/>
        <w:gridCol w:w="208"/>
        <w:gridCol w:w="927"/>
        <w:gridCol w:w="115"/>
        <w:gridCol w:w="109"/>
        <w:gridCol w:w="109"/>
        <w:gridCol w:w="109"/>
        <w:gridCol w:w="274"/>
        <w:gridCol w:w="274"/>
        <w:gridCol w:w="280"/>
        <w:gridCol w:w="109"/>
        <w:gridCol w:w="109"/>
        <w:gridCol w:w="109"/>
        <w:gridCol w:w="305"/>
        <w:gridCol w:w="219"/>
        <w:gridCol w:w="457"/>
        <w:gridCol w:w="109"/>
        <w:gridCol w:w="109"/>
        <w:gridCol w:w="109"/>
        <w:gridCol w:w="316"/>
        <w:gridCol w:w="243"/>
        <w:gridCol w:w="577"/>
        <w:gridCol w:w="109"/>
        <w:gridCol w:w="109"/>
        <w:gridCol w:w="109"/>
        <w:gridCol w:w="302"/>
        <w:gridCol w:w="302"/>
        <w:gridCol w:w="303"/>
        <w:gridCol w:w="109"/>
        <w:gridCol w:w="109"/>
        <w:gridCol w:w="109"/>
        <w:gridCol w:w="317"/>
        <w:gridCol w:w="317"/>
        <w:gridCol w:w="463"/>
      </w:tblGrid>
      <w:tr>
        <w:trPr/>
        <w:tc>
          <w:tcPr>
            <w:tcW w:w="87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2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Related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Swap 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Debt Effective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 Date</w:t>
            </w:r>
          </w:p>
        </w:tc>
      </w:tr>
      <w:tr>
        <w:trPr/>
        <w:tc>
          <w:tcPr>
            <w:tcW w:w="2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Floating Rate Pool of Loans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8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SOFR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8/1/2026</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Floating Rate Pool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8/1/2026</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Harbor Point Parcel 3 Senior Construction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2"/>
              </w:rPr>
            </w:pPr>
            <w:r>
              <w:rPr>
                <w:rFonts w:ascii="Times New Roman;serif" w:hAnsi="Times New Roman;serif"/>
                <w:b w:val="false"/>
                <w:color w:val="000000"/>
                <w:sz w:val="12"/>
              </w:rPr>
              <w:t>(2)</w:t>
            </w:r>
          </w:p>
        </w:tc>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8/1/2026</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Floating Rate Pool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2"/>
              </w:rPr>
            </w:pPr>
            <w:r>
              <w:rPr>
                <w:rFonts w:ascii="Times New Roman;serif" w:hAnsi="Times New Roman;serif"/>
                <w:b w:val="false"/>
                <w:color w:val="000000"/>
                <w:sz w:val="12"/>
              </w:rPr>
              <w:t>(2)</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8/1/2026</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Thames Street Wharf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2"/>
              </w:rPr>
            </w:pPr>
            <w:r>
              <w:rPr>
                <w:rFonts w:ascii="Times New Roman;serif" w:hAnsi="Times New Roman;serif"/>
                <w:b w:val="false"/>
                <w:color w:val="000000"/>
                <w:sz w:val="12"/>
              </w:rPr>
              <w:t>(3)</w:t>
            </w:r>
          </w:p>
        </w:tc>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Daily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0.93 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9/30/2026</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Floating Rate Pool of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2"/>
              </w:rPr>
            </w:pPr>
            <w:r>
              <w:rPr>
                <w:rFonts w:ascii="Times New Roman;serif" w:hAnsi="Times New Roman;serif"/>
                <w:b w:val="false"/>
                <w:color w:val="000000"/>
                <w:sz w:val="12"/>
              </w:rPr>
              <w:t>(4)</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1/1/2027</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M&amp;T Unsecured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2"/>
              </w:rPr>
            </w:pPr>
            <w:r>
              <w:rPr>
                <w:rFonts w:ascii="Times New Roman;serif" w:hAnsi="Times New Roman;serif"/>
                <w:b w:val="false"/>
                <w:color w:val="000000"/>
                <w:sz w:val="12"/>
              </w:rPr>
              <w:t>(3)</w:t>
            </w:r>
          </w:p>
        </w:tc>
        <w:tc>
          <w:tcPr>
            <w:tcW w:w="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SOFR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12/6/2027</w:t>
            </w:r>
          </w:p>
        </w:tc>
      </w:tr>
      <w:tr>
        <w:trPr/>
        <w:tc>
          <w:tcPr>
            <w:tcW w:w="20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Senior Unsecured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2"/>
              </w:rPr>
            </w:pPr>
            <w:r>
              <w:rPr>
                <w:rFonts w:ascii="Times New Roman;serif" w:hAnsi="Times New Roman;serif"/>
                <w:b w:val="false"/>
                <w:color w:val="000000"/>
                <w:sz w:val="12"/>
              </w:rPr>
              <w:t>(5)</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1/21/2028</w:t>
            </w:r>
          </w:p>
        </w:tc>
      </w:tr>
      <w:tr>
        <w:trPr/>
        <w:tc>
          <w:tcPr>
            <w:tcW w:w="2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Effective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1,231,482 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2"/>
        <w:gridCol w:w="493"/>
        <w:gridCol w:w="495"/>
        <w:gridCol w:w="109"/>
        <w:gridCol w:w="109"/>
        <w:gridCol w:w="109"/>
        <w:gridCol w:w="251"/>
        <w:gridCol w:w="828"/>
        <w:gridCol w:w="139"/>
        <w:gridCol w:w="125"/>
        <w:gridCol w:w="125"/>
        <w:gridCol w:w="125"/>
        <w:gridCol w:w="281"/>
        <w:gridCol w:w="281"/>
        <w:gridCol w:w="288"/>
        <w:gridCol w:w="109"/>
        <w:gridCol w:w="109"/>
        <w:gridCol w:w="109"/>
        <w:gridCol w:w="305"/>
        <w:gridCol w:w="254"/>
        <w:gridCol w:w="567"/>
        <w:gridCol w:w="109"/>
        <w:gridCol w:w="109"/>
        <w:gridCol w:w="109"/>
        <w:gridCol w:w="418"/>
        <w:gridCol w:w="418"/>
        <w:gridCol w:w="419"/>
        <w:gridCol w:w="109"/>
        <w:gridCol w:w="109"/>
        <w:gridCol w:w="109"/>
        <w:gridCol w:w="333"/>
        <w:gridCol w:w="333"/>
        <w:gridCol w:w="335"/>
        <w:gridCol w:w="109"/>
        <w:gridCol w:w="109"/>
        <w:gridCol w:w="109"/>
        <w:gridCol w:w="345"/>
        <w:gridCol w:w="345"/>
        <w:gridCol w:w="505"/>
      </w:tblGrid>
      <w:tr>
        <w:trPr/>
        <w:tc>
          <w:tcPr>
            <w:tcW w:w="56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5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Related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Swap 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Debt Effective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Expiration Date</w:t>
            </w:r>
          </w:p>
        </w:tc>
      </w:tr>
      <w:tr>
        <w:trPr/>
        <w:tc>
          <w:tcPr>
            <w:tcW w:w="1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Thames Street Wharf Loan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65,103 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(3)(6)</w:t>
            </w:r>
          </w:p>
        </w:tc>
        <w:tc>
          <w:tcPr>
            <w:tcW w:w="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Daily SOFR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9/30/2031</w:t>
            </w:r>
          </w:p>
        </w:tc>
      </w:tr>
    </w:tbl>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p>
      <w:pPr>
        <w:pStyle w:val="TextBody"/>
        <w:bidi w:val="0"/>
        <w:spacing w:lineRule="auto" w:line="268" w:before="40" w:after="283"/>
        <w:jc w:val="left"/>
        <w:rPr>
          <w:rFonts w:ascii="Times New Roman;serif" w:hAnsi="Times New Roman;serif"/>
          <w:b w:val="false"/>
          <w:color w:val="000000"/>
          <w:sz w:val="18"/>
        </w:rPr>
      </w:pPr>
      <w:r>
        <w:rPr>
          <w:rFonts w:ascii="Times New Roman;serif" w:hAnsi="Times New Roman;serif"/>
          <w:b w:val="false"/>
          <w:color w:val="000000"/>
          <w:sz w:val="18"/>
        </w:rPr>
        <w:t>(1) We paid $5.5 million to reduce the swap fixed rate on July 28, 2025.</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We paid $1.5 million to reduce the swap fixed rate on July 28, 2025.</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 Designated as a cash flow hedge.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(4) We paid $4.6 million to reduce the swap fixed rate on January 3, 2025.</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(5) We novated an existing 3.43% fixed rate swap with a $100.0 million notional and assigned (A) $11.1 million notional to the loan secured by Market at Mill Creek, effective April 17, 2024, and (B) $21.0 million to the loan secured by Liberty Retail &amp; Apartments, effective February 1, 2024. Once the Market at Mill Creek loan was repaid on September 27, 2024, the $67.9 million swap on the senior unsecured loan increased to $79.0 million. Once the Liberty Retail &amp; Apartments loan was repaid on May 20, 2026, the $79.0 million swap on the senior unsecured loan increased to $100.0 million.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(6) The Company entered into a swap on May 28, 2026 with an effective date of September 30, 2026. This swap will replace the existing swap assigned to the loan secured by Thames Street Wharf at the effective date of the loan's extension.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certain of our equity method investments, we have made guarantees to pay portions of certain senior loans of third parties associated with the development projects. As of June 30, 2026, we had no outstanding guarantee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Unfunded Loan Commitments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continue to have certain contingent obligations and financial commitments related to the real estate financing segment, primarily in the form of unfunded loan commitments. We may be a party to financial instruments with off-balance sheet risk in the normal course of business to meet the financial needs of our borrowers. These commitments are not reflected on the condensed consolidated balance sheet. As of June 30, 2026, our off-balance sheet arrangements consisted of $2.0 million of unfunded contingency. We consider the probability of contingency funding to be remote. We do not have a credit loss reserve in conjunction with the total unfunded commitments. Such commitments are subject to our borrowers’ satisfaction of certain financial and nonfinancial covenants and involve, to varying degrees, elements of credit risk in excess of the amount recognized in the condensed consolidated balance sheets. The commitments may or may not be funded depending on a variety of circumstances including timing, credit metric hurdles, and other nonfinancial events occurring.</w:t>
      </w:r>
    </w:p>
    <w:p>
      <w:pPr>
        <w:pStyle w:val="TextBody"/>
        <w:bidi w:val="0"/>
        <w:spacing w:before="1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1155"/>
                <wp:effectExtent l="0" t="0" r="0" b="0"/>
                <wp:wrapNone/>
                <wp:docPr id="63" name="Frame6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w:t>
      </w:r>
    </w:p>
    <w:tbl>
      <w:tblPr>
        <w:tblW w:w="10205" w:type="dxa"/>
        <w:jc w:val="left"/>
        <w:tblInd w:w="0" w:type="dxa"/>
        <w:tblLayout w:type="fixed"/>
        <w:tblCellMar>
          <w:top w:w="28" w:type="dxa"/>
          <w:left w:w="28" w:type="dxa"/>
          <w:bottom w:w="28" w:type="dxa"/>
          <w:right w:w="28" w:type="dxa"/>
        </w:tblCellMar>
      </w:tblPr>
      <w:tblGrid>
        <w:gridCol w:w="2187"/>
        <w:gridCol w:w="1875"/>
        <w:gridCol w:w="1881"/>
        <w:gridCol w:w="109"/>
        <w:gridCol w:w="109"/>
        <w:gridCol w:w="109"/>
        <w:gridCol w:w="211"/>
        <w:gridCol w:w="776"/>
        <w:gridCol w:w="109"/>
        <w:gridCol w:w="109"/>
        <w:gridCol w:w="109"/>
        <w:gridCol w:w="109"/>
        <w:gridCol w:w="211"/>
        <w:gridCol w:w="776"/>
        <w:gridCol w:w="109"/>
        <w:gridCol w:w="109"/>
        <w:gridCol w:w="109"/>
        <w:gridCol w:w="109"/>
        <w:gridCol w:w="211"/>
        <w:gridCol w:w="721"/>
        <w:gridCol w:w="157"/>
      </w:tblGrid>
      <w:tr>
        <w:trPr/>
        <w:tc>
          <w:tcPr>
            <w:tcW w:w="2187"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Cash flows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Cash flows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376,314 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decrease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beginning of period (including discontinued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Cash, cash equivalents, and restricted cash, end of period (including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provided by operating activities from continuing operations increased $18.9 million compared to the six months ended June 30, 2025, primarily due to timing of payments on outstanding property liabilities and increased portfolio net operating income.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used in investing activities from continuing operations decreased $1.0 million compared to the six months ended June 30, 2025, primarily due to payments of a loan curtailment and tenant improvement allowance for our equity method investment, Harbor Point Parcel 3. Additionally, we funded our partner's share of the curtailment in the equity method investment, as well as a loan curtailment on behalf of our partner as a result of selling 1305 Dock Street, the multifamily portion of our Constellation mixed-use property.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used in financing activities from continuing operations increased $411.3 million compared to the six months ended June 30, 2025, primarily due to net debt repayments for the six months ended June 30, 2026 increasing by $381.0 million compared to the same period in the prior year, as well as share repurchases of $33.2 million in the current year compared to none in the prior year.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provided by operating activities from discontinued operations increased $15.1 million compared to the six months ended June 30, 2025, primarily due to volume of payments on outstanding construction liabilities, due to decreased contract activity and as a result of the disposition of the general contracting and real estate services business on April 30,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provided by investing activities from discontinued operations increased $376.3 million compared to the six months ended June 30, 2025, primarily due to the First Closing of the Multifamily Portfolio Sale, the sale of two real estate financing investments, secured by Solis North Creek and Solis Peachtree Corners, and the redemption of the real estate financing investment secured by The Allure at Edinburgh.</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net cash used in financing activities from discontinued operations increased $1.0 million compared to the six months ended June 30, 2025, primarily due to the curtailment payment made for the loan secured by The Everly.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calculate FFO in accordance with the standards established by the National Association of Real Estate Investment Trusts ("Nareit"). Nareit defines FFO as net income (loss) (calculated in accordance with GAAP), excluding depreciation and amortization related to consolidated and unconsolidated real estate, gains or losses from the sales of certain real estate assets, gains or losses from change in control, and impairment write-downs of certain real estate assets and investments in entities when the impairment is directly attributable to decreases in the value of depreciable real estate held by the entity.</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FFO is a supplemental non-GAAP financial measure. Management uses FFO as a supplemental performance measure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1155"/>
                <wp:effectExtent l="0" t="0" r="0" b="0"/>
                <wp:wrapNone/>
                <wp:docPr id="64" name="Frame6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we believe that FFO is beneficial to investors as a starting point in measuring our operational performance. Specifically, in excluding real estate related depreciation and amortization and gains and losses from property dispositions, which do not relate to or are not indicative of operating performance, FFO provides a performance measure that, when compared period-over-period, captures trends in occupancy rates, rental rates, and operating costs.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because FFO excludes depreciation and amortization and captures neither the changes in the value of our properties that result from use or market conditions nor the level of capital expenditures and leasing commissions necessary to maintain the operating performance of our properties, all of which have real economic effects and could materially impact our results from operations, the utility of FFO as a measure of our performance is limited. In addition, other equity REITs may not calculate FFO in accordance with the Nareit definition as we do, and, accordingly, our calculation of FFO may not be comparable to such other REITs’ calculations of FFO. Accordingly, FFO should be considered only as a supplement to net income as a measure of our performance. FFO should not be used as a measure of our liquidity, nor is it indicative of funds available to fund our cash needs, including our ability to pay dividends or service indebtedness. Also, FFO should not be used as a supplement to or substitute for cash flow from operating activities computed in accordance with GAAP.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also believe that the computation of FFO in accordance with Nareit’s definition includes certain items that are not indicative of the results provided by our operating property portfolio and affect the comparability of our period-over-period performance. Accordingly, management believes that FFO, As Adjusted is a more useful performance measure that excludes income or loss from discontinued operations related to general contracting and real estate services, multifamily, and real estate financing. Other equity REITs may not calculate FFO, As Adjusted in the same manner as we do, and, accordingly, our FFO, As Adjusted may not be comparable to such other REITs' FFO, As Adjusted.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FFO and FFO, As Adjusted for the three and six months ended June 30, 2026 and 2025 to net income, the most directly comparable GAAP measure: </w:t>
      </w:r>
    </w:p>
    <w:tbl>
      <w:tblPr>
        <w:tblW w:w="10205" w:type="dxa"/>
        <w:jc w:val="left"/>
        <w:tblInd w:w="0" w:type="dxa"/>
        <w:tblLayout w:type="fixed"/>
        <w:tblCellMar>
          <w:top w:w="28" w:type="dxa"/>
          <w:left w:w="28" w:type="dxa"/>
          <w:bottom w:w="28" w:type="dxa"/>
          <w:right w:w="28" w:type="dxa"/>
        </w:tblCellMar>
      </w:tblPr>
      <w:tblGrid>
        <w:gridCol w:w="1823"/>
        <w:gridCol w:w="1387"/>
        <w:gridCol w:w="1395"/>
        <w:gridCol w:w="109"/>
        <w:gridCol w:w="109"/>
        <w:gridCol w:w="109"/>
        <w:gridCol w:w="211"/>
        <w:gridCol w:w="761"/>
        <w:gridCol w:w="109"/>
        <w:gridCol w:w="109"/>
        <w:gridCol w:w="109"/>
        <w:gridCol w:w="109"/>
        <w:gridCol w:w="211"/>
        <w:gridCol w:w="721"/>
        <w:gridCol w:w="109"/>
        <w:gridCol w:w="109"/>
        <w:gridCol w:w="109"/>
        <w:gridCol w:w="109"/>
        <w:gridCol w:w="211"/>
        <w:gridCol w:w="761"/>
        <w:gridCol w:w="109"/>
        <w:gridCol w:w="109"/>
        <w:gridCol w:w="109"/>
        <w:gridCol w:w="109"/>
        <w:gridCol w:w="211"/>
        <w:gridCol w:w="721"/>
        <w:gridCol w:w="157"/>
      </w:tblGrid>
      <w:tr>
        <w:trPr/>
        <w:tc>
          <w:tcPr>
            <w:tcW w:w="182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 except per share and unit amounts)</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common stockholders and OP Unitholders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Depreciation and amortization, net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consolidation of real estate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on operating real estate dispositions, net</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Impairment of real estate assets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 attributable to common stockholders and OP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FFO attributable to general contracting and real estate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FFO attributable to 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FFO attributable to real estate financing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FFO, As Adjusted available to common stockholders and OP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common stockholders and OP Unitholders per diluted share and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FFO attributable to common stockholders and OP Unitholders per diluted share and unit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FFO, As Adjusted attributable to common stockholders and OP Unitholders per diluted share and unit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and units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w:t>
      </w:r>
    </w:p>
    <w:tbl>
      <w:tblPr>
        <w:tblW w:w="10205" w:type="dxa"/>
        <w:jc w:val="center"/>
        <w:tblInd w:w="0" w:type="dxa"/>
        <w:tblLayout w:type="fixed"/>
        <w:tblCellMar>
          <w:top w:w="28" w:type="dxa"/>
          <w:left w:w="28" w:type="dxa"/>
          <w:bottom w:w="28" w:type="dxa"/>
          <w:right w:w="28" w:type="dxa"/>
        </w:tblCellMar>
      </w:tblPr>
      <w:tblGrid>
        <w:gridCol w:w="3263"/>
        <w:gridCol w:w="2869"/>
        <w:gridCol w:w="4073"/>
      </w:tblGrid>
      <w:tr>
        <w:trPr/>
        <w:tc>
          <w:tcPr>
            <w:tcW w:w="326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 The adjustment for depreciation and amortization includes the Company's share of depreciation and amortization attributable to unconsolidated investments. It also excludes amortization of above and below-market ground lease assets. The adjustment for depreciation and amortization for the three and six months ended June 30, 2026 excludes $0.2 million and $0.4 million, respectively, of depreciation attributable to our partners. The adjustment for depreciation and amortization for the three and six months ended June 30, 2025 excludes $0.3 million and $0.6 million, respectively, of depreciation attributable to our partners.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1155"/>
                <wp:effectExtent l="0" t="0" r="0" b="0"/>
                <wp:wrapNone/>
                <wp:docPr id="65" name="Frame6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266"/>
        <w:gridCol w:w="2872"/>
        <w:gridCol w:w="4067"/>
      </w:tblGrid>
      <w:tr>
        <w:trPr/>
        <w:tc>
          <w:tcPr>
            <w:tcW w:w="326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 The adjustment for gain on operating real estate dispositions for the six months ended June 30, 2026 excludes $0.2 million for the loss on the disposition of a non-operating parcel of undeveloped land under predevelopment. The adjustment for gain on operating real estate dispositions for the three and six months ended June 30, 2026 includes the $2.2 million loss on disposition of the general contracting and real estate services business.</w:t>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 Impairment recognized for the three months ended June 30, 2026 represents impairment of the multifamily properties Greenside Apartments, Solis Gainesville II, and The Everly, notes receivable secured by the Solis Kennesaw real estate financing investments, and development projects that management has determined are no longer probably of execution and no longer intends to pursue development of the projects. Impairment recognized for the six months ended June 30, 2026 represents impairment of notes receivable secured by the Solis North Creek, Solis Peachtree Corners, and Solis Kennesaw real estate financing investments. </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Critical Accounting Policies and Estimates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of our financial condition and results of operations are based upon our consolidated financial statements that have been prepared in accordance with GAAP. The preparation of these financial statements requires us to exercise our best judgment in making estimates that affect the reported amounts of assets, liabilities, revenues, and expenses. We base our estimates on historical experience and other assumptions that we believe to be reasonable under the circumstances. We evaluate our estimates on an ongoing basis, based upon then-currently available information. Actual results could differ from these estimates. We discuss the accounting policies and estimates that are most critical to understanding our reported financial results in our Annual Report on Form 10-K for the year ended December 31, 2025.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market risk since December 31, 2025. For a discussion of the Company's exposure to market risk, refer to the Company's market risk disclosure set forth in Part II, Item 7A, "Quantitative and Qualitative Disclosures About Market Risk" of our Annual Report on Form 10-K for the year ended December 31, 2025.</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such term is defined in Rule 13a-15(e) and 15d-15(e) under the Exchange Act) that are designed to ensure that information required to be disclosed in our reports under the Exchange Act is processed, recorded, summarized, and reported within the time periods specified in the rules and regulations of the SEC and that such information is accumulated and communicated to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carried out an evaluation, under the supervision and with the participation of management, including our Chief Executive Officer and Chief Financial Officer, regarding the effectiveness of our disclosure controls and procedures as of June 30, 2026, the end of the period covered by this report. Based on the foregoing, our Chief Executive Officer and Chief Financial Officer have concluded, as of June 30, 2026, that our disclosure controls and procedures were effective in ensuring that information required to be disclosed by us in reports filed or submitted under the Exchange Act: (i) is processed, recorded, summarized, and reported within the time periods specified in the SEC’s rules and forms and (ii) is accumulated and communicated to our management, including our Chief Executive Officer and our Chief Financial Officer, as appropriate to allow for timely decisions regarding required disclosure.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completed the sale of its general contracting and real estate services business on April 30, 2026. In connection with this divestiture, the Company discontinued certain internal controls over financial reporting that were specific to the disposed business, including controls related to transaction processing, account reconciliations, financial reporting, and information technology systems supporting that business. Management evaluated the impact of the disposition on the Company's internal control over financial reporting and determined that these controls related solely to the divested operations and are no longer relevant to the Company's ongoing financial reporting processes.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quarter, management reassessed certain financial reporting risks and related internal controls associated with the real estate financing and multifamily operations, due to their classification as discontinued operations. As a result of this assessment, the Company evaluated whether changes to its internal control over financial reporting were necessary in light of the significance of these businesses to the Company's ongoing operations and financial reporting. The reassessment did not result in any material changes to the Company's internal control over financial reporting, as the Company continues to hold and report on its remaining multifamily and real estate financing investments and the related controls continue to operate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1155"/>
                <wp:effectExtent l="0" t="0" r="0" b="0"/>
                <wp:wrapNone/>
                <wp:docPr id="66" name="Frame6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support the financial reporting of those businesses. Management currently expects that, upon the completion of the Company's business transformation strategy and the disposition of its remaining multifamily and real estate financing investments, changes to the Company's internal control over financial reporting framework may be required and could materially affect the Company's internal control over financial reporting at that time.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for the changes described above, there were no other changes in the Company’s internal control over financial reporting during the quarter ended June 30, 2026 that have materially affected, or are reasonably likely to materially affect, the Company’s internal control over financial reporting.</w:t>
      </w:r>
    </w:p>
    <w:p>
      <w:pPr>
        <w:pStyle w:val="TextBody"/>
        <w:bidi w:val="0"/>
        <w:spacing w:lineRule="auto" w:line="288" w:before="0" w:after="0"/>
        <w:ind w:left="0" w:right="0" w:firstLine="720"/>
        <w:jc w:val="left"/>
        <w:rPr>
          <w:color w:val="000000"/>
        </w:rPr>
      </w:pPr>
      <w:r>
        <w:rPr>
          <w:color w:val="000000"/>
        </w:rPr>
        <w:t>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1155"/>
                <wp:effectExtent l="0" t="0" r="0" b="0"/>
                <wp:wrapNone/>
                <wp:docPr id="67" name="Frame6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288" w:before="0" w:after="0"/>
        <w:ind w:left="0" w:right="0" w:firstLine="126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not currently a party, as plaintiff or defendant, to any legal proceedings that we believe to be material or which, individually or in the aggregate, would be expected to have a material effect on our business, financial condition, or results of operations if determined adversely to us. We may be subject to ongoing litigation relating to our portfolio and the properties comprising our portfolio, and we expect to otherwise be party from time to time to various lawsuits, claims, and other legal proceedings that arise in the ordinary course of our business.</w:t>
      </w:r>
    </w:p>
    <w:p>
      <w:pPr>
        <w:pStyle w:val="TextBody"/>
        <w:bidi w:val="0"/>
        <w:spacing w:before="0" w:after="0"/>
        <w:ind w:left="0" w:right="0" w:firstLine="175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disclosed in Item 1A. Risk Factors in our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15, 2023, we adopted the $50.0 million Share Repurchase Program. On May 8, 2026, we increased the authorized capacity of the Share Repurchase Program by $50.0 million, bringing the total authorized share repurchase capacity to $100.0 million. Under the Share Repurchase Program, we may repurchase shares of common stock and Series A Preferred Stock from time to time in the open market, in block purchases, through privately negotiated transactions, the use of trading plans intended to qualify under Rule 10b5-1 under the Exchange Act, or other means permitted. The Share Repurchase Program does not obligate us to acquire any specific number of shares or acquire shares over any specific period of time. The Share Repurchase Program may be suspended or discontinued at any time and does not have an expiration date.</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common share repurchase activity under the Share Repurchase Program for the three months ended June 30, 2026:</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7"/>
        <w:gridCol w:w="365"/>
        <w:gridCol w:w="372"/>
        <w:gridCol w:w="109"/>
        <w:gridCol w:w="109"/>
        <w:gridCol w:w="109"/>
        <w:gridCol w:w="653"/>
        <w:gridCol w:w="422"/>
        <w:gridCol w:w="424"/>
        <w:gridCol w:w="109"/>
        <w:gridCol w:w="109"/>
        <w:gridCol w:w="109"/>
        <w:gridCol w:w="284"/>
        <w:gridCol w:w="675"/>
        <w:gridCol w:w="157"/>
        <w:gridCol w:w="109"/>
        <w:gridCol w:w="109"/>
        <w:gridCol w:w="109"/>
        <w:gridCol w:w="921"/>
        <w:gridCol w:w="720"/>
        <w:gridCol w:w="723"/>
        <w:gridCol w:w="109"/>
        <w:gridCol w:w="109"/>
        <w:gridCol w:w="109"/>
        <w:gridCol w:w="540"/>
        <w:gridCol w:w="1786"/>
        <w:gridCol w:w="438"/>
      </w:tblGrid>
      <w:tr>
        <w:trPr/>
        <w:tc>
          <w:tcPr>
            <w:tcW w:w="41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Approximate Dollar Value of Shares that May Yet Be Purchased Under the Plans or Programs (in thousands)</w:t>
            </w:r>
            <w:r>
              <w:rPr>
                <w:rFonts w:ascii="Times New Roman;serif" w:hAnsi="Times New Roman;serif"/>
                <w:b/>
                <w:color w:val="000000"/>
                <w:sz w:val="10"/>
              </w:rPr>
              <w:t>(1)</w:t>
            </w:r>
          </w:p>
        </w:tc>
      </w:tr>
      <w:tr>
        <w:trPr/>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April 1, 2026 through April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578,476 </w:t>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578,476 </w:t>
            </w:r>
          </w:p>
        </w:tc>
        <w:tc>
          <w:tcPr>
            <w:tcW w:w="7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13,237 </w:t>
            </w:r>
          </w:p>
        </w:tc>
        <w:tc>
          <w:tcPr>
            <w:tcW w:w="4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May 1, 2026 through May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1,378,376 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1,378,376 </w:t>
            </w:r>
          </w:p>
        </w:tc>
        <w:tc>
          <w:tcPr>
            <w:tcW w:w="7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4,128 </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June 1, 2026 through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54,128 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1,956,852 </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1,956,852 </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w:t>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(1) Reflects the dollar value of shares that may yet be repurchased under the Share Repurchase Program announced on June 15, 2023. Our board of directors initially authorized the repurchase of an aggregate of $50.0 million of shares of common stock and Series A Preferred Stock pursuant to the Share Repurchase Program. On May 8, 2026, our board of directors authorized an increase of an aggregate of $50.0 million of shares of common stock and Series A Preferred Stock pursuant to the Share Repurchase Program, bringing the total authorized share repurchase capacity to $100.0 million.</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1155"/>
                <wp:effectExtent l="0" t="0" r="0" b="0"/>
                <wp:wrapNone/>
                <wp:docPr id="68" name="Frame6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Series A Preferred Stock repurchase activity under the Share Repurchase Program for the three months ended June 30, 2026:</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436"/>
        <w:gridCol w:w="383"/>
        <w:gridCol w:w="390"/>
        <w:gridCol w:w="109"/>
        <w:gridCol w:w="109"/>
        <w:gridCol w:w="109"/>
        <w:gridCol w:w="438"/>
        <w:gridCol w:w="438"/>
        <w:gridCol w:w="439"/>
        <w:gridCol w:w="109"/>
        <w:gridCol w:w="109"/>
        <w:gridCol w:w="109"/>
        <w:gridCol w:w="307"/>
        <w:gridCol w:w="638"/>
        <w:gridCol w:w="173"/>
        <w:gridCol w:w="109"/>
        <w:gridCol w:w="109"/>
        <w:gridCol w:w="109"/>
        <w:gridCol w:w="768"/>
        <w:gridCol w:w="768"/>
        <w:gridCol w:w="770"/>
        <w:gridCol w:w="109"/>
        <w:gridCol w:w="109"/>
        <w:gridCol w:w="109"/>
        <w:gridCol w:w="577"/>
        <w:gridCol w:w="1907"/>
        <w:gridCol w:w="465"/>
      </w:tblGrid>
      <w:tr>
        <w:trPr/>
        <w:tc>
          <w:tcPr>
            <w:tcW w:w="43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Approximate Dollar Value of Shares that May Yet Be Purchased Under the Plans or Programs (in thousands)</w:t>
            </w:r>
            <w:r>
              <w:rPr>
                <w:rFonts w:ascii="Times New Roman;serif" w:hAnsi="Times New Roman;serif"/>
                <w:b/>
                <w:color w:val="000000"/>
                <w:sz w:val="10"/>
              </w:rPr>
              <w:t>(1)</w:t>
            </w:r>
          </w:p>
        </w:tc>
      </w:tr>
      <w:tr>
        <w:trPr/>
        <w:tc>
          <w:tcPr>
            <w:tcW w:w="12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April 1, 2026 through April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13,237 </w:t>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May 1, 2026 through May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4,128 </w:t>
            </w:r>
          </w:p>
        </w:tc>
        <w:tc>
          <w:tcPr>
            <w:tcW w:w="4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June 1, 2026 through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54,128 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w:t>
      </w:r>
    </w:p>
    <w:p>
      <w:pPr>
        <w:pStyle w:val="TextBody"/>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(1) Reflects the dollar value of shares that may yet be repurchased under the Share Repurchase Program announced on June 15, 2023. Our board of directors authorized the repurchase of an aggregate of $50.0 million of shares of common stock and Series A Preferred Stock pursuant to the Share Repurchase Program. On May 8, 2026, our board of directors authorized an increase of an aggregate of $50.0 million of shares of common stock and Series A Preferred Stock pursuant to the Share Repurchase Program, bringing the total authorized share repurchase capacity to $100.0 million.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on Senior Securities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ind w:left="0" w:right="0" w:firstLine="1755"/>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or terminated a “Rule 10b5-1 trading arrangement” or a “non-Rule 10b5-1 trading arrangement,” as each term is defined in Item 408(a) of Regulation S-K.</w:t>
      </w:r>
    </w:p>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1155"/>
                <wp:effectExtent l="0" t="0" r="0" b="0"/>
                <wp:wrapNone/>
                <wp:docPr id="69" name="Frame6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exhibits listed in the accompanying Exhibit Index are filed, furnished or incorporated by reference (as applicable) as part of this Quarterly Report on Form 10-Q.</w:t>
      </w:r>
    </w:p>
    <w:tbl>
      <w:tblPr>
        <w:tblW w:w="10205" w:type="dxa"/>
        <w:jc w:val="center"/>
        <w:tblInd w:w="0" w:type="dxa"/>
        <w:tblLayout w:type="fixed"/>
        <w:tblCellMar>
          <w:top w:w="28" w:type="dxa"/>
          <w:left w:w="28" w:type="dxa"/>
          <w:bottom w:w="28" w:type="dxa"/>
          <w:right w:w="28" w:type="dxa"/>
        </w:tblCellMar>
      </w:tblPr>
      <w:tblGrid>
        <w:gridCol w:w="290"/>
        <w:gridCol w:w="255"/>
        <w:gridCol w:w="256"/>
        <w:gridCol w:w="109"/>
        <w:gridCol w:w="109"/>
        <w:gridCol w:w="109"/>
        <w:gridCol w:w="2758"/>
        <w:gridCol w:w="2606"/>
        <w:gridCol w:w="3713"/>
      </w:tblGrid>
      <w:tr>
        <w:trPr/>
        <w:tc>
          <w:tcPr>
            <w:tcW w:w="29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3713"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Articles of Amendment and Restatement of AH Realty Trust, Inc. (Incorporated by reference to Exhibit 3.1 to the Company’s Registration Statement on Form S-3, filed on March 19, 2026).</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Bylaws of AH Realty Trust. (Incorporated by reference to Exhibit 3.2 to the Company's Registration Statement on Form S-3, filed on March 19, 2026)</w:t>
              </w:r>
            </w:hyperlink>
            <w:r>
              <w:rPr>
                <w:rFonts w:ascii="Times New Roman;serif" w:hAnsi="Times New Roman;serif"/>
                <w:b w:val="false"/>
                <w:color w:val="000000"/>
                <w:sz w:val="20"/>
              </w:rPr>
              <w: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Articles Supplementary Designating the Rights and Preferences of the 6.75% Series A Cumulative Redeemable Perpetual Preferred Stock (Incorporated by reference to Exhibit 3.1 to the Company’s Current Report on Form 8-K, filed on June 17, 2019).</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Articles Supplementary relating to Section 3-802(c) of the Maryland General Corporation Law (Incorporated by reference to Exhibit 3.1 to the Company’s Current Report on Form 8-K, filed on February 24, 2020).</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Articles Supplementary Designating Additional 6.75% Series A Cumulative Redeemable Perpetual Preferred Stock, dated March 6, 2020 (Incorporated by reference to Exhibit 4.10 to the Company’s Form S-3, filed on March 9, 2020).</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Articles Supplementary Designating Additional 6.75% Series A Cumulative Redeemable Perpetual Preferred Stock, dated July 2, 2020 (Incorporated by reference to Exhibit 3.1 to the Company’s Current Report on Form 8-K, filed on July 6, 2020).</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Articles Supplementary Designating Additional 6.75% Series A Cumulative Redeemable Perpetual Preferred Stock, dated August 17, 2020 (Incorporated by reference to Exhibit 3.1 to the Company’s Current Report on Form 8-K, filed on August 20, 2020).</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Form of Armada Hoffler, L.P. 5.57% Senior Note, Series A, due July 22, 2028 (Incorporated by reference to Exhibit 10.2 to the Company’s Current Report on Form 8-K, filed on July 22, 2025).</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Form of Armada Hoffler, L.P. 5.78% Senior Note, Series B, due July 22, 2030 (Incorporated by reference to Exhibit 10.3 to the Company’s Current Report on Form 8-K, filed on July 22, 2025).</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Form of Armada Hoffler, L.P. 6.09% Senior Note, Series C, due July 22, 2032 (Incorporated by reference to Exhibit 10.4 to the Company’s Current Report on Form 8-K, filed on July 22, 2025).</w:t>
              </w:r>
            </w:hyperlink>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311-st.htm">
              <w:r>
                <w:rPr>
                  <w:rStyle w:val="InternetLink"/>
                  <w:rFonts w:ascii="Times New Roman;serif" w:hAnsi="Times New Roman;serif"/>
                  <w:b w:val="false"/>
                  <w:color w:val="0000FF"/>
                  <w:sz w:val="20"/>
                  <w:u w:val="single"/>
                </w:rPr>
                <w:t>Certification of Chief Executive Officer pursuant to Section 302 of the Sarbanes-Oxley Act of 2002</w:t>
              </w:r>
            </w:hyperlink>
            <w:r>
              <w:rPr>
                <w:rFonts w:ascii="Times New Roman;serif" w:hAnsi="Times New Roman;serif"/>
                <w:b w:val="false"/>
                <w:color w:val="000000"/>
                <w:sz w:val="20"/>
              </w:rPr>
              <w: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312-mtab.htm">
              <w:r>
                <w:rPr>
                  <w:rStyle w:val="InternetLink"/>
                  <w:rFonts w:ascii="Times New Roman;serif" w:hAnsi="Times New Roman;serif"/>
                  <w:b w:val="false"/>
                  <w:color w:val="0000FF"/>
                  <w:sz w:val="20"/>
                  <w:u w:val="single"/>
                </w:rPr>
                <w:t>Certification of Chief Financial Officer pursuant to Section 302 of the Sarbanes-Oxley Act of 2002</w:t>
              </w:r>
            </w:hyperlink>
            <w:r>
              <w:rPr>
                <w:rFonts w:ascii="Times New Roman;serif" w:hAnsi="Times New Roman;serif"/>
                <w:b w:val="false"/>
                <w:color w:val="000000"/>
                <w:sz w:val="20"/>
              </w:rPr>
              <w: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321-st.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r>
              <w:rPr>
                <w:rFonts w:ascii="Times New Roman;serif" w:hAnsi="Times New Roman;serif"/>
                <w:b w:val="false"/>
                <w:color w:val="000000"/>
                <w:sz w:val="20"/>
              </w:rPr>
              <w: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ex322-mtab.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r>
              <w:rPr>
                <w:rFonts w:ascii="Times New Roman;serif" w:hAnsi="Times New Roman;serif"/>
                <w:b w:val="false"/>
                <w:color w:val="000000"/>
                <w:sz w:val="20"/>
              </w:rPr>
              <w: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the Company’s Quarterly Report on Form 10-Q for the quarter ended June 30, 2026, were formatted in Inline XBRL (Extensible Business Reporting Language): (i) Condensed Consolidated Balance Sheet, (ii) Condensed Consolidated Statements of Comprehensive (Loss) Income, (iii) Condensed Consolidated Statements of Equity, (iv) Condensed Consolidated Statements of Cash Flows, and (v) Notes to Condensed Consolidated Financial Statements. The instance document does not appear in the Interactive Data File because its XBRL tags are embedded within the Inline XBRL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portions of this exhibit have been redacted pursuant to Regulation S-K, Item 601(a)(6).</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Certain of the schedules and attachments to this exhibit have been omitted pursuant to Regulation S-K, Item 601(a)(5). The registrant hereby undertakes to provide further information regarding such omitted materials to the SEC upon request.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1155"/>
                <wp:effectExtent l="0" t="0" r="0" b="0"/>
                <wp:wrapNone/>
                <wp:docPr id="70" name="Frame7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6235a20b0f454bf89301b6c570c6402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ind w:left="0" w:right="0" w:firstLine="1755"/>
        <w:jc w:val="left"/>
        <w:rPr>
          <w:color w:val="000000"/>
        </w:rPr>
      </w:pPr>
      <w:r>
        <w:rPr>
          <w:color w:val="000000"/>
        </w:rPr>
        <w:t> </w:t>
      </w:r>
    </w:p>
    <w:tbl>
      <w:tblPr>
        <w:tblW w:w="5938" w:type="dxa"/>
        <w:jc w:val="left"/>
        <w:tblInd w:w="0" w:type="dxa"/>
        <w:tblLayout w:type="fixed"/>
        <w:tblCellMar>
          <w:top w:w="28" w:type="dxa"/>
          <w:left w:w="28" w:type="dxa"/>
          <w:bottom w:w="28" w:type="dxa"/>
          <w:right w:w="28" w:type="dxa"/>
        </w:tblCellMar>
      </w:tblPr>
      <w:tblGrid>
        <w:gridCol w:w="667"/>
        <w:gridCol w:w="587"/>
        <w:gridCol w:w="590"/>
        <w:gridCol w:w="1197"/>
        <w:gridCol w:w="1197"/>
        <w:gridCol w:w="170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AH REALTY TRUST,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Shawn J. Tibbetts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Shawn J. Tibbetts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T. Barnes-Smith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T. Barnes-Smith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and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1155"/>
                <wp:effectExtent l="0" t="0" r="0" b="0"/>
                <wp:wrapNone/>
                <wp:docPr id="71" name="Frame7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27.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TO SECTION 302 OF THE SARBANES-OXLEY ACT OF 2002 </w:t>
      </w:r>
    </w:p>
    <w:p>
      <w:pPr>
        <w:pStyle w:val="TextBody"/>
        <w:bidi w:val="0"/>
        <w:spacing w:lineRule="auto" w:line="288" w:before="0" w:after="0"/>
        <w:jc w:val="center"/>
        <w:rPr>
          <w:color w:val="000000"/>
        </w:rPr>
      </w:pP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Shawn J. Tibbetts, certify that: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AH Realty Trust, Inc. </w:t>
      </w:r>
    </w:p>
    <w:p>
      <w:pPr>
        <w:pStyle w:val="TextBody"/>
        <w:bidi w:val="0"/>
        <w:spacing w:lineRule="auto" w:line="288" w:before="0" w:after="0"/>
        <w:ind w:left="0" w:right="0" w:hanging="360"/>
        <w:jc w:val="left"/>
        <w:rPr>
          <w:color w:val="000000"/>
        </w:rPr>
      </w:pPr>
      <w:r>
        <w:rPr>
          <w:color w:val="000000"/>
        </w:rPr>
        <w:t xml:space="preserve">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ind w:left="0" w:right="0" w:hanging="360"/>
        <w:jc w:val="left"/>
        <w:rPr>
          <w:color w:val="000000"/>
        </w:rPr>
      </w:pPr>
      <w:r>
        <w:rPr>
          <w:color w:val="000000"/>
        </w:rPr>
        <w:t xml:space="preserve">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ind w:left="0" w:right="0" w:hanging="360"/>
        <w:jc w:val="left"/>
        <w:rPr>
          <w:color w:val="000000"/>
        </w:rPr>
      </w:pPr>
      <w:r>
        <w:rPr>
          <w:color w:val="000000"/>
        </w:rPr>
        <w:t xml:space="preserve">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ind w:left="0" w:right="0" w:hanging="450"/>
        <w:jc w:val="left"/>
        <w:rPr>
          <w:color w:val="000000"/>
        </w:rPr>
      </w:pPr>
      <w:r>
        <w:rPr>
          <w:color w:val="000000"/>
        </w:rPr>
        <w:t xml:space="preserve">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0"/>
        <w:ind w:left="0" w:right="0" w:hanging="540"/>
        <w:jc w:val="left"/>
        <w:rPr>
          <w:color w:val="000000"/>
        </w:rPr>
      </w:pPr>
      <w:r>
        <w:rPr>
          <w:color w:val="000000"/>
        </w:rPr>
        <w:t xml:space="preserve">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ind w:left="0" w:right="0" w:hanging="540"/>
        <w:jc w:val="left"/>
        <w:rPr>
          <w:color w:val="000000"/>
        </w:rPr>
      </w:pPr>
      <w:r>
        <w:rPr>
          <w:color w:val="000000"/>
        </w:rPr>
        <w:t xml:space="preserve">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ind w:left="0" w:right="0" w:hanging="540"/>
        <w:jc w:val="left"/>
        <w:rPr>
          <w:color w:val="000000"/>
        </w:rPr>
      </w:pPr>
      <w:r>
        <w:rPr>
          <w:color w:val="000000"/>
        </w:rPr>
        <w:t xml:space="preserve">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88" w:before="0" w:after="0"/>
        <w:ind w:left="0" w:right="0" w:hanging="450"/>
        <w:jc w:val="left"/>
        <w:rPr>
          <w:color w:val="000000"/>
        </w:rPr>
      </w:pPr>
      <w:r>
        <w:rPr>
          <w:color w:val="000000"/>
        </w:rPr>
        <w:t xml:space="preserve">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0"/>
        <w:ind w:left="0" w:right="0" w:hanging="450"/>
        <w:jc w:val="left"/>
        <w:rPr>
          <w:color w:val="000000"/>
        </w:rPr>
      </w:pPr>
      <w:r>
        <w:rPr>
          <w:color w:val="000000"/>
        </w:rPr>
        <w:t xml:space="preserve">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ind w:left="0" w:right="0" w:hanging="450"/>
        <w:jc w:val="left"/>
        <w:rPr>
          <w:color w:val="000000"/>
        </w:rPr>
      </w:pPr>
      <w:r>
        <w:rPr>
          <w:color w:val="000000"/>
        </w:rPr>
        <w:t xml:space="preserve">  </w:t>
      </w:r>
    </w:p>
    <w:tbl>
      <w:tblPr>
        <w:tblW w:w="626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200"/>
        <w:gridCol w:w="1200"/>
        <w:gridCol w:w="169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Shawn J. Tibbetts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Shawn J. Tibbetts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bl>
    <w:p>
      <w:pPr>
        <w:pStyle w:val="TextBody"/>
        <w:bidi w:val="0"/>
        <w:spacing w:lineRule="auto" w:line="288" w:before="0" w:after="0"/>
        <w:jc w:val="left"/>
        <w:rPr>
          <w:color w:val="000000"/>
        </w:rPr>
      </w:pPr>
      <w:r>
        <w:rPr>
          <w:color w:val="000000"/>
        </w:rPr>
        <w:t xml:space="preserve">  </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color w:val="000000"/>
        </w:rPr>
      </w:pP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TO SECTION 302 OF THE SARBANES-OXLEY ACT OF 2002 </w:t>
      </w:r>
    </w:p>
    <w:p>
      <w:pPr>
        <w:pStyle w:val="TextBody"/>
        <w:bidi w:val="0"/>
        <w:spacing w:lineRule="auto" w:line="288" w:before="0" w:after="0"/>
        <w:jc w:val="center"/>
        <w:rPr>
          <w:color w:val="000000"/>
        </w:rPr>
      </w:pP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Matthew T. Barnes-Smith, certify that: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AH Realty Trust, Inc. </w:t>
      </w:r>
    </w:p>
    <w:p>
      <w:pPr>
        <w:pStyle w:val="TextBody"/>
        <w:bidi w:val="0"/>
        <w:spacing w:lineRule="auto" w:line="288" w:before="0" w:after="0"/>
        <w:ind w:left="0" w:right="0" w:hanging="540"/>
        <w:jc w:val="left"/>
        <w:rPr>
          <w:color w:val="000000"/>
        </w:rPr>
      </w:pPr>
      <w:r>
        <w:rPr>
          <w:color w:val="000000"/>
        </w:rPr>
        <w:t xml:space="preserve">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0"/>
        <w:ind w:left="0" w:right="0" w:hanging="540"/>
        <w:jc w:val="left"/>
        <w:rPr>
          <w:color w:val="000000"/>
        </w:rPr>
      </w:pPr>
      <w:r>
        <w:rPr>
          <w:color w:val="000000"/>
        </w:rPr>
        <w:t xml:space="preserve">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0"/>
        <w:ind w:left="0" w:right="0" w:hanging="540"/>
        <w:jc w:val="left"/>
        <w:rPr>
          <w:color w:val="000000"/>
        </w:rPr>
      </w:pPr>
      <w:r>
        <w:rPr>
          <w:color w:val="000000"/>
        </w:rPr>
        <w:t xml:space="preserve">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ind w:left="0" w:right="0" w:hanging="450"/>
        <w:jc w:val="left"/>
        <w:rPr>
          <w:color w:val="000000"/>
        </w:rPr>
      </w:pPr>
      <w:r>
        <w:rPr>
          <w:color w:val="000000"/>
        </w:rPr>
        <w:t xml:space="preserve">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0"/>
        <w:ind w:left="0" w:right="0" w:hanging="540"/>
        <w:jc w:val="left"/>
        <w:rPr>
          <w:color w:val="000000"/>
        </w:rPr>
      </w:pPr>
      <w:r>
        <w:rPr>
          <w:color w:val="000000"/>
        </w:rPr>
        <w:t xml:space="preserve">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ind w:left="0" w:right="0" w:hanging="540"/>
        <w:jc w:val="left"/>
        <w:rPr>
          <w:color w:val="000000"/>
        </w:rPr>
      </w:pPr>
      <w:r>
        <w:rPr>
          <w:color w:val="000000"/>
        </w:rPr>
        <w:t xml:space="preserve">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ind w:left="0" w:right="0" w:hanging="540"/>
        <w:jc w:val="left"/>
        <w:rPr>
          <w:color w:val="000000"/>
        </w:rPr>
      </w:pPr>
      <w:r>
        <w:rPr>
          <w:color w:val="000000"/>
        </w:rPr>
        <w:t xml:space="preserve">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w:t>
      </w:r>
    </w:p>
    <w:p>
      <w:pPr>
        <w:pStyle w:val="TextBody"/>
        <w:bidi w:val="0"/>
        <w:spacing w:lineRule="auto" w:line="288" w:before="0" w:after="0"/>
        <w:ind w:left="0" w:right="0" w:hanging="540"/>
        <w:jc w:val="left"/>
        <w:rPr>
          <w:color w:val="000000"/>
        </w:rPr>
      </w:pPr>
      <w:r>
        <w:rPr>
          <w:color w:val="000000"/>
        </w:rPr>
        <w:t xml:space="preserve">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0"/>
        <w:ind w:left="0" w:right="0" w:hanging="450"/>
        <w:jc w:val="left"/>
        <w:rPr>
          <w:color w:val="000000"/>
        </w:rPr>
      </w:pPr>
      <w:r>
        <w:rPr>
          <w:color w:val="000000"/>
        </w:rPr>
        <w:t xml:space="preserve">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ind w:left="0" w:right="0" w:hanging="540"/>
        <w:jc w:val="left"/>
        <w:rPr>
          <w:color w:val="000000"/>
        </w:rPr>
      </w:pPr>
      <w:r>
        <w:rPr>
          <w:color w:val="000000"/>
        </w:rPr>
        <w:t xml:space="preserve">  </w:t>
      </w:r>
    </w:p>
    <w:p>
      <w:pPr>
        <w:pStyle w:val="TextBody"/>
        <w:bidi w:val="0"/>
        <w:spacing w:lineRule="auto" w:line="288" w:before="0" w:after="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ind w:left="0" w:right="0" w:hanging="450"/>
        <w:jc w:val="left"/>
        <w:rPr>
          <w:color w:val="000000"/>
        </w:rPr>
      </w:pPr>
      <w:r>
        <w:rPr>
          <w:color w:val="000000"/>
        </w:rPr>
        <w:t xml:space="preserve">  </w:t>
      </w:r>
    </w:p>
    <w:p>
      <w:pPr>
        <w:pStyle w:val="TextBody"/>
        <w:bidi w:val="0"/>
        <w:spacing w:lineRule="auto" w:line="288" w:before="0" w:after="0"/>
        <w:ind w:left="0" w:right="0" w:hanging="450"/>
        <w:jc w:val="left"/>
        <w:rPr>
          <w:color w:val="000000"/>
        </w:rPr>
      </w:pPr>
      <w:r>
        <w:rPr>
          <w:color w:val="000000"/>
        </w:rPr>
        <w:t xml:space="preserve">  </w:t>
      </w:r>
    </w:p>
    <w:tbl>
      <w:tblPr>
        <w:tblW w:w="532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922"/>
        <w:gridCol w:w="922"/>
        <w:gridCol w:w="130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T. Barnes-Smith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T. Barnes-Smith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color w:val="000000"/>
        </w:rPr>
      </w:pPr>
      <w:r>
        <w:rPr>
          <w:color w:val="000000"/>
        </w:rPr>
        <w:t xml:space="preserve">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undersigned, Shawn J. Tibbetts, the Chairman, President and Chief Executive Officer of AH Realty Trust, Inc. (the “Company”), pursuant to 18 U.S.C. §1350, as adopted pursuant to Section 906 of the Sarbanes-Oxley Act of 2002, hereby certifies that, to the best of his knowledge: </w:t>
      </w:r>
    </w:p>
    <w:p>
      <w:pPr>
        <w:pStyle w:val="TextBody"/>
        <w:bidi w:val="0"/>
        <w:spacing w:lineRule="auto" w:line="288" w:before="0" w:after="0"/>
        <w:ind w:left="0" w:right="0" w:firstLine="495"/>
        <w:jc w:val="left"/>
        <w:rPr>
          <w:color w:val="000000"/>
        </w:rPr>
      </w:pPr>
      <w:r>
        <w:rPr>
          <w:color w:val="000000"/>
        </w:rPr>
        <w:t xml:space="preserve">  </w:t>
      </w:r>
    </w:p>
    <w:p>
      <w:pPr>
        <w:pStyle w:val="TextBody"/>
        <w:bidi w:val="0"/>
        <w:spacing w:lineRule="auto" w:line="288"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the Quarterly Report for the period ended June 30, 2026 of the Company (the “Report”) fully complies with the requirements of Section 13(a) or Section 15(d), as applicable, of the Securities Exchange Act of 1934, as amended; and </w:t>
      </w:r>
    </w:p>
    <w:p>
      <w:pPr>
        <w:pStyle w:val="TextBody"/>
        <w:bidi w:val="0"/>
        <w:spacing w:lineRule="auto" w:line="288" w:before="0" w:after="0"/>
        <w:ind w:left="0" w:right="0" w:hanging="450"/>
        <w:jc w:val="left"/>
        <w:rPr>
          <w:color w:val="000000"/>
        </w:rPr>
      </w:pPr>
      <w:r>
        <w:rPr>
          <w:color w:val="000000"/>
        </w:rPr>
        <w:t xml:space="preserve">  </w:t>
      </w:r>
    </w:p>
    <w:p>
      <w:pPr>
        <w:pStyle w:val="TextBody"/>
        <w:bidi w:val="0"/>
        <w:spacing w:lineRule="auto" w:line="288"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ind w:left="0" w:right="0" w:hanging="450"/>
        <w:jc w:val="left"/>
        <w:rPr>
          <w:color w:val="000000"/>
        </w:rPr>
      </w:pPr>
      <w:r>
        <w:rPr>
          <w:color w:val="000000"/>
        </w:rPr>
        <w:t xml:space="preserve">  </w:t>
      </w:r>
    </w:p>
    <w:tbl>
      <w:tblPr>
        <w:tblW w:w="6265"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200"/>
        <w:gridCol w:w="1200"/>
        <w:gridCol w:w="169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Shawn J. Tibbetts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Shawn J. Tibbetts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w:t>
            </w:r>
          </w:p>
        </w:tc>
      </w:tr>
    </w:tbl>
    <w:p>
      <w:pPr>
        <w:pStyle w:val="TextBody"/>
        <w:bidi w:val="0"/>
        <w:spacing w:lineRule="auto" w:line="288" w:before="0" w:after="0"/>
        <w:jc w:val="left"/>
        <w:rPr>
          <w:color w:val="000000"/>
        </w:rPr>
      </w:pPr>
      <w:r>
        <w:rPr>
          <w:color w:val="000000"/>
        </w:rPr>
        <w:t xml:space="preserve">  </w:t>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color w:val="000000"/>
        </w:rPr>
      </w:pPr>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0" w:after="0"/>
        <w:jc w:val="center"/>
        <w:rPr>
          <w:color w:val="000000"/>
        </w:rPr>
      </w:pPr>
      <w:r>
        <w:rPr>
          <w:color w:val="000000"/>
        </w:rPr>
        <w:t xml:space="preserve">  </w:t>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undersigned, Matthew T. Barnes-Smith, the Chief Financial Officer and Treasurer of AH Realty Trust, Inc. (the “Company”), pursuant to 18 U.S.C. §1350, as adopted pursuant to Section 906 of the Sarbanes-Oxley Act of 2002, hereby certifies that, to the best of his knowledge: </w:t>
      </w:r>
    </w:p>
    <w:p>
      <w:pPr>
        <w:pStyle w:val="TextBody"/>
        <w:bidi w:val="0"/>
        <w:spacing w:lineRule="auto" w:line="288" w:before="0" w:after="0"/>
        <w:ind w:left="0" w:right="0" w:firstLine="495"/>
        <w:jc w:val="left"/>
        <w:rPr>
          <w:color w:val="000000"/>
        </w:rPr>
      </w:pPr>
      <w:r>
        <w:rPr>
          <w:color w:val="000000"/>
        </w:rPr>
        <w:t xml:space="preserve">  </w:t>
      </w:r>
    </w:p>
    <w:p>
      <w:pPr>
        <w:pStyle w:val="TextBody"/>
        <w:bidi w:val="0"/>
        <w:spacing w:lineRule="auto" w:line="288"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the Quarterly Report for the period ended June 30, 2026 of the Company (the “Report”) fully complies with the requirements of Section 13(a) or Section 15(d), as applicable, of the Securities Exchange Act of 1934, as amended; and </w:t>
      </w:r>
    </w:p>
    <w:p>
      <w:pPr>
        <w:pStyle w:val="TextBody"/>
        <w:bidi w:val="0"/>
        <w:spacing w:lineRule="auto" w:line="288" w:before="0" w:after="0"/>
        <w:ind w:left="0" w:right="0" w:hanging="450"/>
        <w:jc w:val="left"/>
        <w:rPr>
          <w:color w:val="000000"/>
        </w:rPr>
      </w:pPr>
      <w:r>
        <w:rPr>
          <w:color w:val="000000"/>
        </w:rPr>
        <w:t xml:space="preserve">  </w:t>
      </w:r>
    </w:p>
    <w:p>
      <w:pPr>
        <w:pStyle w:val="TextBody"/>
        <w:bidi w:val="0"/>
        <w:spacing w:lineRule="auto" w:line="288" w:before="0" w:after="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ind w:left="0" w:right="0" w:hanging="450"/>
        <w:jc w:val="left"/>
        <w:rPr>
          <w:color w:val="000000"/>
        </w:rPr>
      </w:pPr>
      <w:r>
        <w:rPr>
          <w:color w:val="000000"/>
        </w:rPr>
        <w:t xml:space="preserve">  </w:t>
      </w:r>
    </w:p>
    <w:tbl>
      <w:tblPr>
        <w:tblW w:w="5320"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922"/>
        <w:gridCol w:w="922"/>
        <w:gridCol w:w="130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T. Barnes-Smith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T. Barnes-Smith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lineRule="auto" w:line="288" w:before="0" w:after="0"/>
        <w:jc w:val="left"/>
        <w:rPr>
          <w:color w:val="000000"/>
        </w:rPr>
      </w:pPr>
      <w:r>
        <w:rPr>
          <w:color w:val="000000"/>
        </w:rPr>
        <w:t xml:space="preserve">  </w:t>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Roboto">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69187/000119312514222594/d734363dex41.htm" TargetMode="External"/><Relationship Id="rId3" Type="http://schemas.openxmlformats.org/officeDocument/2006/relationships/hyperlink" Target="https://www.sec.gov/Archives/edgar/data/1569187/000110465926032155/tm269297d2_ex3-2.htm" TargetMode="External"/><Relationship Id="rId4" Type="http://schemas.openxmlformats.org/officeDocument/2006/relationships/hyperlink" Target="https://www.sec.gov/Archives/edgar/data/0001569187/000114036119011142/nc10002617x1_ex3-1.htm" TargetMode="External"/><Relationship Id="rId5" Type="http://schemas.openxmlformats.org/officeDocument/2006/relationships/hyperlink" Target="https://www.sec.gov/Archives/edgar/data/0001569187/000110465920024339/tm209734d3_ex3-1.htm" TargetMode="External"/><Relationship Id="rId6" Type="http://schemas.openxmlformats.org/officeDocument/2006/relationships/hyperlink" Target="https://www.sec.gov/Archives/edgar/data/0001569187/000104746920001310/a2240817zex-4_10.htm" TargetMode="External"/><Relationship Id="rId7" Type="http://schemas.openxmlformats.org/officeDocument/2006/relationships/hyperlink" Target="https://www.sec.gov/Archives/edgar/data/0001569187/000156918720000046/articlessupplementaryo.htm" TargetMode="External"/><Relationship Id="rId8" Type="http://schemas.openxmlformats.org/officeDocument/2006/relationships/hyperlink" Target="https://www.sec.gov/Archives/edgar/data/0001569187/000156918720000055/exhibit31articlessuppl.htm" TargetMode="External"/><Relationship Id="rId9" Type="http://schemas.openxmlformats.org/officeDocument/2006/relationships/hyperlink" Target="https://www.sec.gov/Archives/edgar/data/1569187/000156918725000152/exhibit101.htm" TargetMode="External"/><Relationship Id="rId10" Type="http://schemas.openxmlformats.org/officeDocument/2006/relationships/hyperlink" Target="https://www.sec.gov/Archives/edgar/data/1569187/000156918725000152/exhibit101.htm" TargetMode="External"/><Relationship Id="rId11" Type="http://schemas.openxmlformats.org/officeDocument/2006/relationships/hyperlink" Target="https://www.sec.gov/Archives/edgar/data/1569187/000156918725000152/exhibit101.htm"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38880</Words>
  <Characters>213028</Characters>
  <CharactersWithSpaces>249085</CharactersWithSpaces>
  <Paragraphs>5922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