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9985.xml.htm"/>
      <w:bookmarkStart w:id="1" w:name="kswkform4_17915799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Wimbush Frederick Blair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62"/>
        <w:gridCol w:w="440"/>
        <w:gridCol w:w="703"/>
        <w:gridCol w:w="1351"/>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494.44</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5.96</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48,512.247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632.59</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5.99</w:t>
            </w:r>
            <w:r>
              <w:rPr>
                <w:rFonts w:ascii="Times;serif" w:hAnsi="Times;serif"/>
                <w:color w:val="008000"/>
                <w:position w:val="7"/>
                <w:sz w:val="16"/>
                <w:sz w:val="20"/>
                <w:shd w:fill="FFFFFF" w:val="clear"/>
              </w:rPr>
              <w:t>(2)</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49,144.837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5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a broker-sponsored dividend reinvestment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$5.96 to $6.03, inclusive. The reporting person undertakes to provide to AH Realty Trust, Inc. (the "Company"), any security holder of the Company, or the staff of the Securities and Exchange Commission, upon request, full information regarding the number of shares purchased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Time-Based LTIP Units ("Time-Based LTIP Units") in AH Realty Trust, LP (the "Operating Partnership"), the operating partnership of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Common Units. All Common Units reflected in this report may be tendered for redemption by the holder.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F. Blair Wimbush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5407"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898</Words>
  <Characters>4847</Characters>
  <CharactersWithSpaces>5649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